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52381A" w14:paraId="680FB090" w14:textId="77777777" w:rsidTr="0038378A">
        <w:tc>
          <w:tcPr>
            <w:tcW w:w="4678" w:type="dxa"/>
          </w:tcPr>
          <w:p w14:paraId="75A9C996" w14:textId="77777777" w:rsidR="0052381A" w:rsidRPr="006B7DD9" w:rsidRDefault="0052381A" w:rsidP="0052381A">
            <w:pPr>
              <w:spacing w:after="0" w:line="240" w:lineRule="auto"/>
              <w:ind w:left="-295" w:firstLine="295"/>
              <w:jc w:val="left"/>
              <w:rPr>
                <w:szCs w:val="24"/>
              </w:rPr>
            </w:pPr>
            <w:r w:rsidRPr="006B7DD9">
              <w:rPr>
                <w:szCs w:val="24"/>
              </w:rPr>
              <w:t>UBND PHƯỜNG HỒNG QUANG</w:t>
            </w:r>
          </w:p>
          <w:p w14:paraId="0DA766F9" w14:textId="7C4C1FFA" w:rsidR="0052381A" w:rsidRPr="006B7DD9" w:rsidRDefault="0038378A" w:rsidP="0038378A">
            <w:pPr>
              <w:spacing w:after="0" w:line="240" w:lineRule="auto"/>
              <w:ind w:firstLine="299"/>
              <w:jc w:val="left"/>
              <w:rPr>
                <w:b/>
                <w:szCs w:val="24"/>
              </w:rPr>
            </w:pPr>
            <w:r>
              <w:rPr>
                <w:b/>
                <w:noProof/>
                <w:szCs w:val="24"/>
              </w:rPr>
              <w:pict w14:anchorId="2F1DC08D">
                <v:line id="Straight Connector 2" o:spid="_x0000_s2061" style="position:absolute;left:0;text-align:left;flip:y;z-index:251660288;visibility:visible" from="48.6pt,15.15pt" to="154.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"/>
              </w:pict>
            </w:r>
            <w:r w:rsidR="0052381A" w:rsidRPr="006B7DD9">
              <w:rPr>
                <w:b/>
                <w:szCs w:val="24"/>
              </w:rPr>
              <w:t xml:space="preserve">TRƯỜNG MN </w:t>
            </w:r>
            <w:r w:rsidR="0052381A">
              <w:rPr>
                <w:b/>
                <w:szCs w:val="24"/>
              </w:rPr>
              <w:t>NGHĨA AN</w:t>
            </w:r>
          </w:p>
          <w:p w14:paraId="6A260C16" w14:textId="59CBD8E1" w:rsidR="0052381A" w:rsidRDefault="0052381A" w:rsidP="00773DCD">
            <w:pPr>
              <w:spacing w:before="60" w:after="0" w:line="288" w:lineRule="auto"/>
              <w:ind w:left="0" w:firstLine="0"/>
              <w:jc w:val="center"/>
              <w:rPr>
                <w:b/>
              </w:rPr>
            </w:pPr>
          </w:p>
        </w:tc>
        <w:tc>
          <w:tcPr>
            <w:tcW w:w="5670" w:type="dxa"/>
          </w:tcPr>
          <w:p w14:paraId="50AA9995" w14:textId="77777777" w:rsidR="0052381A" w:rsidRPr="006B7DD9" w:rsidRDefault="0052381A" w:rsidP="0052381A">
            <w:pPr>
              <w:spacing w:after="0" w:line="240" w:lineRule="auto"/>
              <w:jc w:val="center"/>
              <w:rPr>
                <w:b/>
                <w:bCs/>
                <w:sz w:val="26"/>
                <w:szCs w:val="26"/>
              </w:rPr>
            </w:pPr>
            <w:r w:rsidRPr="006B7DD9">
              <w:rPr>
                <w:b/>
                <w:bCs/>
                <w:sz w:val="26"/>
                <w:szCs w:val="26"/>
              </w:rPr>
              <w:t>CỘNG HÒA XÃ HỘI CHỦ NGHĨA VIỆT NAM</w:t>
            </w:r>
          </w:p>
          <w:p w14:paraId="3BD2D10E" w14:textId="7ABE6D37" w:rsidR="0052381A" w:rsidRPr="006B7DD9" w:rsidRDefault="0038378A" w:rsidP="0052381A">
            <w:pPr>
              <w:spacing w:after="0" w:line="240" w:lineRule="auto"/>
              <w:jc w:val="center"/>
              <w:rPr>
                <w:b/>
                <w:szCs w:val="28"/>
              </w:rPr>
            </w:pPr>
            <w:r>
              <w:rPr>
                <w:b/>
                <w:noProof/>
                <w:sz w:val="24"/>
                <w:szCs w:val="24"/>
              </w:rPr>
              <w:pict w14:anchorId="2370C015">
                <v:line id="Straight Connector 1" o:spid="_x0000_s2062" style="position:absolute;left:0;text-align:left;z-index:251662336;visibility:visible" from="79.9pt,15.7pt" to="19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"/>
              </w:pict>
            </w:r>
            <w:r w:rsidR="0052381A" w:rsidRPr="006B7DD9">
              <w:rPr>
                <w:b/>
                <w:szCs w:val="28"/>
              </w:rPr>
              <w:t>Độc lập - Tự do - Hạnh phúc</w:t>
            </w:r>
          </w:p>
          <w:p w14:paraId="21AADD74" w14:textId="1363E7C0" w:rsidR="0052381A" w:rsidRPr="006B7DD9" w:rsidRDefault="0052381A" w:rsidP="0052381A">
            <w:pPr>
              <w:spacing w:after="0" w:line="240" w:lineRule="auto"/>
              <w:rPr>
                <w:b/>
                <w:szCs w:val="24"/>
              </w:rPr>
            </w:pPr>
          </w:p>
          <w:p w14:paraId="32FE7D0A" w14:textId="64BB53DB" w:rsidR="0052381A" w:rsidRDefault="0052381A" w:rsidP="00CD48E5">
            <w:pPr>
              <w:spacing w:before="60" w:after="0" w:line="288" w:lineRule="auto"/>
              <w:ind w:left="0" w:firstLine="0"/>
              <w:jc w:val="center"/>
              <w:rPr>
                <w:b/>
              </w:rPr>
            </w:pPr>
            <w:r w:rsidRPr="006B7DD9">
              <w:rPr>
                <w:i/>
                <w:szCs w:val="28"/>
              </w:rPr>
              <w:t xml:space="preserve">Hồng Quang,ngày </w:t>
            </w:r>
            <w:r w:rsidR="00CD48E5">
              <w:rPr>
                <w:i/>
                <w:szCs w:val="28"/>
              </w:rPr>
              <w:t>12</w:t>
            </w:r>
            <w:r w:rsidRPr="006B7DD9">
              <w:rPr>
                <w:i/>
                <w:szCs w:val="28"/>
              </w:rPr>
              <w:t xml:space="preserve"> tháng</w:t>
            </w:r>
            <w:r>
              <w:rPr>
                <w:i/>
                <w:szCs w:val="28"/>
              </w:rPr>
              <w:t xml:space="preserve"> </w:t>
            </w:r>
            <w:r w:rsidR="00C06EAF">
              <w:rPr>
                <w:i/>
                <w:szCs w:val="28"/>
              </w:rPr>
              <w:t>12</w:t>
            </w:r>
            <w:r w:rsidRPr="006B7DD9">
              <w:rPr>
                <w:i/>
                <w:szCs w:val="28"/>
              </w:rPr>
              <w:t xml:space="preserve"> năm 202</w:t>
            </w:r>
            <w:r w:rsidR="00C06EAF">
              <w:rPr>
                <w:i/>
                <w:szCs w:val="28"/>
              </w:rPr>
              <w:t>5</w:t>
            </w:r>
          </w:p>
        </w:tc>
      </w:tr>
    </w:tbl>
    <w:p w14:paraId="3CF56C8A" w14:textId="77777777" w:rsidR="0052381A" w:rsidRDefault="0052381A" w:rsidP="00773DCD">
      <w:pPr>
        <w:spacing w:before="60" w:after="0" w:line="288" w:lineRule="auto"/>
        <w:ind w:left="0" w:firstLine="0"/>
        <w:jc w:val="center"/>
        <w:rPr>
          <w:b/>
        </w:rPr>
      </w:pPr>
    </w:p>
    <w:p w14:paraId="2E51B703" w14:textId="77777777" w:rsidR="0052381A" w:rsidRPr="0052381A" w:rsidRDefault="0052381A" w:rsidP="0052381A">
      <w:pPr>
        <w:spacing w:before="60" w:after="0" w:line="288" w:lineRule="auto"/>
        <w:ind w:left="0" w:firstLine="0"/>
        <w:jc w:val="center"/>
        <w:rPr>
          <w:b/>
        </w:rPr>
      </w:pPr>
      <w:r w:rsidRPr="0052381A">
        <w:rPr>
          <w:b/>
        </w:rPr>
        <w:t>CHUYÊN ĐỀ: HƯỚNG DẪN TRIỂN KHAI ĐÁNH GIÁ MỨC ĐỘ</w:t>
      </w:r>
    </w:p>
    <w:p w14:paraId="0FE6AF81" w14:textId="77777777" w:rsidR="0052381A" w:rsidRPr="0052381A" w:rsidRDefault="0052381A" w:rsidP="0052381A">
      <w:pPr>
        <w:spacing w:before="60" w:after="0" w:line="288" w:lineRule="auto"/>
        <w:ind w:left="0" w:firstLine="0"/>
        <w:jc w:val="center"/>
        <w:rPr>
          <w:b/>
        </w:rPr>
      </w:pPr>
      <w:r w:rsidRPr="0052381A">
        <w:rPr>
          <w:b/>
        </w:rPr>
        <w:t>CHUYỂN ĐỔI SỐ TRONG CƠ SỞ GIÁO DỤC MẦM NON</w:t>
      </w:r>
    </w:p>
    <w:p w14:paraId="1FE7B14C" w14:textId="77777777" w:rsidR="0052381A" w:rsidRDefault="0052381A" w:rsidP="0052381A">
      <w:pPr>
        <w:pStyle w:val="Heading2"/>
        <w:spacing w:before="60" w:after="0" w:line="288" w:lineRule="auto"/>
        <w:ind w:left="0" w:firstLine="0"/>
      </w:pPr>
      <w:bookmarkStart w:id="0" w:name="_Toc181953335"/>
      <w:bookmarkStart w:id="1" w:name="_Toc182148272"/>
      <w:bookmarkStart w:id="2" w:name="_Toc182148820"/>
    </w:p>
    <w:p w14:paraId="16896463" w14:textId="77777777" w:rsidR="001D2BDE" w:rsidRPr="00773DCD" w:rsidRDefault="001D2BDE" w:rsidP="0052381A">
      <w:pPr>
        <w:pStyle w:val="Heading2"/>
        <w:spacing w:before="60" w:after="0" w:line="288" w:lineRule="auto"/>
        <w:ind w:left="0" w:firstLine="0"/>
        <w:rPr>
          <w:szCs w:val="28"/>
        </w:rPr>
      </w:pPr>
      <w:r w:rsidRPr="00773DCD">
        <w:rPr>
          <w:szCs w:val="28"/>
        </w:rPr>
        <w:t xml:space="preserve">CÁC CĂN CỨ TRIỂN KHAI </w:t>
      </w:r>
    </w:p>
    <w:p w14:paraId="2FDCF126" w14:textId="77777777" w:rsidR="001D2BDE" w:rsidRPr="00773DCD" w:rsidRDefault="001D2BDE" w:rsidP="001D2BDE">
      <w:pPr>
        <w:spacing w:before="60" w:after="0" w:line="288" w:lineRule="auto"/>
        <w:ind w:left="-10" w:right="5" w:firstLine="721"/>
        <w:rPr>
          <w:szCs w:val="28"/>
        </w:rPr>
      </w:pPr>
      <w:r>
        <w:rPr>
          <w:rStyle w:val="fontstyle01"/>
        </w:rPr>
        <w:t>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w:t>
      </w:r>
    </w:p>
    <w:p w14:paraId="4A1C07B6" w14:textId="77777777" w:rsidR="001D2BDE" w:rsidRDefault="001D2BDE" w:rsidP="001D2BDE">
      <w:pPr>
        <w:spacing w:before="60" w:after="0" w:line="288" w:lineRule="auto"/>
        <w:ind w:left="-10" w:right="5" w:firstLine="721"/>
        <w:rPr>
          <w:color w:val="000000" w:themeColor="text1"/>
          <w:szCs w:val="28"/>
        </w:rPr>
      </w:pPr>
      <w:r w:rsidRPr="003157B5">
        <w:rPr>
          <w:rStyle w:val="fontstyle01"/>
        </w:rPr>
        <w:t xml:space="preserve">Căn cứ Quyết định số </w:t>
      </w:r>
      <w:r w:rsidRPr="001D2BDE">
        <w:rPr>
          <w:rStyle w:val="fontstyle01"/>
        </w:rPr>
        <w:t>4725</w:t>
      </w:r>
      <w:r w:rsidRPr="003157B5">
        <w:rPr>
          <w:rStyle w:val="fontstyle01"/>
        </w:rPr>
        <w:t>/Q</w:t>
      </w:r>
      <w:r w:rsidRPr="003157B5">
        <w:rPr>
          <w:rStyle w:val="fontstyle01"/>
          <w:rFonts w:hint="eastAsia"/>
        </w:rPr>
        <w:t>Đ</w:t>
      </w:r>
      <w:r w:rsidRPr="003157B5">
        <w:rPr>
          <w:rStyle w:val="fontstyle01"/>
        </w:rPr>
        <w:t>-BGDĐT ngày 30/</w:t>
      </w:r>
      <w:r w:rsidRPr="001D2BDE">
        <w:rPr>
          <w:rStyle w:val="fontstyle01"/>
        </w:rPr>
        <w:t>12</w:t>
      </w:r>
      <w:r w:rsidRPr="003157B5">
        <w:rPr>
          <w:rStyle w:val="fontstyle01"/>
        </w:rPr>
        <w:t>/</w:t>
      </w:r>
      <w:r w:rsidRPr="001D2BDE">
        <w:rPr>
          <w:rStyle w:val="fontstyle01"/>
        </w:rPr>
        <w:t>2022</w:t>
      </w:r>
      <w:r w:rsidRPr="003157B5">
        <w:rPr>
          <w:rStyle w:val="fontstyle01"/>
        </w:rPr>
        <w:t xml:space="preserve"> của Bộ Giáo dục và Đào tạo (GDĐT) </w:t>
      </w:r>
      <w:r w:rsidRPr="001D2BDE">
        <w:rPr>
          <w:rStyle w:val="fontstyle01"/>
        </w:rPr>
        <w:t xml:space="preserve">Ban hành Bộ chỉ số đánh giá mức độ chuyển đổi số </w:t>
      </w:r>
      <w:r w:rsidRPr="001D2BDE">
        <w:rPr>
          <w:rStyle w:val="fontstyle01"/>
        </w:rPr>
        <w:br/>
        <w:t>của cơ sở giáo dục phổ thông và giáo dục thường xuyên</w:t>
      </w:r>
    </w:p>
    <w:p w14:paraId="3060A0D8" w14:textId="77777777" w:rsidR="00773DCD" w:rsidRPr="00527608" w:rsidRDefault="009C704D" w:rsidP="00997EF1">
      <w:pPr>
        <w:pStyle w:val="Heading1"/>
        <w:spacing w:before="60" w:line="288" w:lineRule="auto"/>
        <w:jc w:val="both"/>
        <w:rPr>
          <w:color w:val="000000" w:themeColor="text1"/>
          <w:szCs w:val="28"/>
        </w:rPr>
      </w:pPr>
      <w:r w:rsidRPr="00527608">
        <w:rPr>
          <w:color w:val="000000" w:themeColor="text1"/>
          <w:szCs w:val="28"/>
        </w:rPr>
        <w:t>I. HƯỚNG DẪN CHUNG</w:t>
      </w:r>
      <w:bookmarkEnd w:id="0"/>
      <w:bookmarkEnd w:id="1"/>
      <w:bookmarkEnd w:id="2"/>
    </w:p>
    <w:p w14:paraId="06073C23" w14:textId="77777777" w:rsidR="000142BE" w:rsidRPr="00527608" w:rsidRDefault="009C704D" w:rsidP="00997EF1">
      <w:pPr>
        <w:pStyle w:val="Heading2"/>
        <w:spacing w:before="60" w:after="0" w:line="288" w:lineRule="auto"/>
        <w:ind w:left="0" w:firstLine="0"/>
        <w:rPr>
          <w:color w:val="000000" w:themeColor="text1"/>
          <w:szCs w:val="28"/>
        </w:rPr>
      </w:pPr>
      <w:bookmarkStart w:id="3" w:name="_Toc181953336"/>
      <w:bookmarkStart w:id="4" w:name="_Toc182148273"/>
      <w:bookmarkStart w:id="5" w:name="_Toc182148821"/>
      <w:r w:rsidRPr="00527608">
        <w:rPr>
          <w:color w:val="000000" w:themeColor="text1"/>
          <w:szCs w:val="28"/>
        </w:rPr>
        <w:t>1. Mức độ chuyển đổi số</w:t>
      </w:r>
      <w:bookmarkEnd w:id="3"/>
      <w:bookmarkEnd w:id="4"/>
      <w:bookmarkEnd w:id="5"/>
    </w:p>
    <w:p w14:paraId="5E9AD0FF" w14:textId="77777777" w:rsidR="000142BE" w:rsidRPr="00527608" w:rsidRDefault="009C704D" w:rsidP="00997EF1">
      <w:pPr>
        <w:spacing w:before="60" w:after="0" w:line="288" w:lineRule="auto"/>
        <w:ind w:right="5" w:firstLine="691"/>
        <w:rPr>
          <w:color w:val="000000" w:themeColor="text1"/>
          <w:szCs w:val="28"/>
        </w:rPr>
      </w:pPr>
      <w:r w:rsidRPr="00527608">
        <w:rPr>
          <w:color w:val="000000" w:themeColor="text1"/>
          <w:szCs w:val="28"/>
        </w:rPr>
        <w:t>a) Mức độ chuyển đổi số tại các cơ sở giáo dục được đánh giá theo từng(02) nhóm tiêu chí thành phần: Nhóm tiêu chí “</w:t>
      </w:r>
      <w:r w:rsidRPr="00527608">
        <w:rPr>
          <w:b/>
          <w:i/>
          <w:color w:val="000000" w:themeColor="text1"/>
          <w:szCs w:val="28"/>
        </w:rPr>
        <w:t>Chuyển đổi số trong dạy, học</w:t>
      </w:r>
      <w:r w:rsidRPr="00527608">
        <w:rPr>
          <w:color w:val="000000" w:themeColor="text1"/>
          <w:szCs w:val="28"/>
        </w:rPr>
        <w:t>” và Nhóm tiêu chí “</w:t>
      </w:r>
      <w:r w:rsidRPr="00527608">
        <w:rPr>
          <w:b/>
          <w:i/>
          <w:color w:val="000000" w:themeColor="text1"/>
          <w:szCs w:val="28"/>
        </w:rPr>
        <w:t>Chuyển đổi số trong quản trị cơ sở giáo dục</w:t>
      </w:r>
      <w:r w:rsidRPr="00527608">
        <w:rPr>
          <w:color w:val="000000" w:themeColor="text1"/>
          <w:szCs w:val="28"/>
        </w:rPr>
        <w:t xml:space="preserve">”, thang điểm tối đa là 100, mỗi nhóm tiêu chí được đánh giá ở ba mức độ: </w:t>
      </w:r>
    </w:p>
    <w:p w14:paraId="7450AF02" w14:textId="77777777" w:rsidR="000142BE" w:rsidRPr="00527608" w:rsidRDefault="00773DCD"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Mức chưa đáp ứng (Mức độ 1): Tổng điểm của mỗi nhóm tiêu chí dưới 50. Ở mức này, cơ sở giáo dục chưa đáp ứng các yêu cầu cơ bản về triển khai chuyển đổi số. </w:t>
      </w:r>
    </w:p>
    <w:p w14:paraId="5656E0E7" w14:textId="77777777" w:rsidR="000142BE" w:rsidRPr="00527608" w:rsidRDefault="00773DCD"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Mức đáp ứng cơ bản (Mức độ 2): Tổng điểm của mỗi nhóm tiêu chí đạt từ 50 đến 75. Ở mức này, cơ sở giáo dục đã đáp ứng yêu cơ bản về triển khai chuyển đổi số. </w:t>
      </w:r>
    </w:p>
    <w:p w14:paraId="5DFEDD73" w14:textId="77777777" w:rsidR="000142BE" w:rsidRPr="00527608" w:rsidRDefault="00773DCD"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Mức đáp ứng tốt (Mức độ 3): Tổng điểm của mỗi nhóm tiêu chí đạt trên 75. Ở mức này, cơ sở giáo dục đáp ứng tốt các yêu cầu cơ bản và một số yêu cầu nâng cao về triển khai chuyển đổi số. </w:t>
      </w:r>
    </w:p>
    <w:p w14:paraId="15827553" w14:textId="77777777" w:rsidR="00773DCD" w:rsidRPr="00527608" w:rsidRDefault="009C704D" w:rsidP="00997EF1">
      <w:pPr>
        <w:spacing w:before="60" w:after="0" w:line="288" w:lineRule="auto"/>
        <w:ind w:right="5" w:firstLine="691"/>
        <w:rPr>
          <w:color w:val="000000" w:themeColor="text1"/>
          <w:szCs w:val="28"/>
        </w:rPr>
      </w:pPr>
      <w:r w:rsidRPr="00527608">
        <w:rPr>
          <w:color w:val="000000" w:themeColor="text1"/>
          <w:szCs w:val="28"/>
        </w:rPr>
        <w:t>b) Mức độ chuyển đổi số tại các cơ sở giáo dục được đánh giá ở ba mức độ:</w:t>
      </w:r>
    </w:p>
    <w:p w14:paraId="48DB9DE2" w14:textId="77777777" w:rsidR="00773DCD" w:rsidRPr="00527608" w:rsidRDefault="009C704D" w:rsidP="00997EF1">
      <w:pPr>
        <w:spacing w:before="60" w:after="0" w:line="288" w:lineRule="auto"/>
        <w:ind w:right="5" w:firstLine="691"/>
        <w:rPr>
          <w:color w:val="000000" w:themeColor="text1"/>
          <w:szCs w:val="28"/>
        </w:rPr>
      </w:pPr>
      <w:r w:rsidRPr="00527608">
        <w:rPr>
          <w:color w:val="000000" w:themeColor="text1"/>
          <w:szCs w:val="28"/>
        </w:rPr>
        <w:t>- Mức chưa đáp ứng (Mức độ 1): Một trong 02 nhóm tiêu chí đạt ở Mức 1.</w:t>
      </w:r>
    </w:p>
    <w:p w14:paraId="2C44D1CD" w14:textId="77777777" w:rsidR="00773DCD" w:rsidRPr="00527608" w:rsidRDefault="00773DCD"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Mức đáp ứng cơ bản (Mức độ 2): Cả 02 tiêu chí tối thiểu đạt Mức 2. </w:t>
      </w:r>
    </w:p>
    <w:p w14:paraId="6731721F" w14:textId="77777777" w:rsidR="006972C3" w:rsidRPr="00527608" w:rsidRDefault="00773DCD"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Mức đáp ứng tốt (Mức độ 3): Cả 02 nhóm tiêu chí đều ở Mức 3. </w:t>
      </w:r>
    </w:p>
    <w:p w14:paraId="6EF4087E" w14:textId="77777777" w:rsidR="000142BE" w:rsidRPr="00527608" w:rsidRDefault="009C704D" w:rsidP="00997EF1">
      <w:pPr>
        <w:pStyle w:val="Heading2"/>
        <w:spacing w:before="60" w:after="0" w:line="288" w:lineRule="auto"/>
        <w:ind w:left="0" w:firstLine="0"/>
        <w:rPr>
          <w:color w:val="000000" w:themeColor="text1"/>
          <w:szCs w:val="28"/>
        </w:rPr>
      </w:pPr>
      <w:bookmarkStart w:id="6" w:name="_Toc181953337"/>
      <w:bookmarkStart w:id="7" w:name="_Toc182148274"/>
      <w:bookmarkStart w:id="8" w:name="_Toc182148822"/>
      <w:r w:rsidRPr="00527608">
        <w:rPr>
          <w:color w:val="000000" w:themeColor="text1"/>
          <w:szCs w:val="28"/>
        </w:rPr>
        <w:lastRenderedPageBreak/>
        <w:t xml:space="preserve">2. </w:t>
      </w:r>
      <w:r w:rsidRPr="00527608">
        <w:rPr>
          <w:color w:val="000000" w:themeColor="text1"/>
        </w:rPr>
        <w:t>Cách</w:t>
      </w:r>
      <w:r w:rsidRPr="00527608">
        <w:rPr>
          <w:color w:val="000000" w:themeColor="text1"/>
          <w:szCs w:val="28"/>
        </w:rPr>
        <w:t xml:space="preserve"> chấm điểm các tiêu chí</w:t>
      </w:r>
      <w:bookmarkEnd w:id="6"/>
      <w:bookmarkEnd w:id="7"/>
      <w:bookmarkEnd w:id="8"/>
    </w:p>
    <w:p w14:paraId="22F6C5EF" w14:textId="77777777" w:rsidR="000142BE" w:rsidRPr="00527608" w:rsidRDefault="006972C3"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Điểm của các tiêu chí làm tròn đến 0.5 điểm. </w:t>
      </w:r>
    </w:p>
    <w:p w14:paraId="7014148C" w14:textId="77777777" w:rsidR="000142BE" w:rsidRPr="00527608" w:rsidRDefault="006972C3" w:rsidP="00997EF1">
      <w:pPr>
        <w:spacing w:before="60" w:after="0" w:line="288" w:lineRule="auto"/>
        <w:ind w:right="5" w:firstLine="691"/>
        <w:rPr>
          <w:color w:val="000000" w:themeColor="text1"/>
          <w:szCs w:val="28"/>
        </w:rPr>
      </w:pPr>
      <w:r w:rsidRPr="00527608">
        <w:rPr>
          <w:color w:val="000000" w:themeColor="text1"/>
          <w:szCs w:val="28"/>
        </w:rPr>
        <w:t>-</w:t>
      </w:r>
      <w:r w:rsidR="009C704D" w:rsidRPr="00527608">
        <w:rPr>
          <w:color w:val="000000" w:themeColor="text1"/>
          <w:szCs w:val="28"/>
        </w:rPr>
        <w:t xml:space="preserve"> Đối với các tiêu chí có điểm trong khoảng giới hạn thì giới hạn nhỏ nhất cho điểm tối đa của mức trước đó; giới hạn lớn nhất thì cho điểm tối đa của mức đang tính; các giới hạn trong khoảng thì chia tỷ lệ tương đối cho phù hợp trong giới hạn. </w:t>
      </w:r>
    </w:p>
    <w:p w14:paraId="4D653DF0" w14:textId="77777777" w:rsidR="000142BE" w:rsidRPr="00527608" w:rsidRDefault="009C704D" w:rsidP="00997EF1">
      <w:pPr>
        <w:spacing w:before="60" w:after="0" w:line="288" w:lineRule="auto"/>
        <w:ind w:left="-10" w:right="5" w:firstLine="706"/>
        <w:rPr>
          <w:color w:val="000000" w:themeColor="text1"/>
          <w:szCs w:val="28"/>
        </w:rPr>
      </w:pPr>
      <w:r w:rsidRPr="00527608">
        <w:rPr>
          <w:color w:val="000000" w:themeColor="text1"/>
          <w:szCs w:val="28"/>
        </w:rPr>
        <w:t xml:space="preserve"> Ví dụ: Mục 1.7, với trường hợp: tiêu chí </w:t>
      </w:r>
      <w:r w:rsidRPr="00527608">
        <w:rPr>
          <w:b/>
          <w:color w:val="000000" w:themeColor="text1"/>
          <w:szCs w:val="28"/>
        </w:rPr>
        <w:t xml:space="preserve">&lt;20% tối đa 2.0 điểm; 20%-60% tối đa 5.0 điểm </w:t>
      </w:r>
      <w:r w:rsidRPr="00527608">
        <w:rPr>
          <w:color w:val="000000" w:themeColor="text1"/>
          <w:szCs w:val="28"/>
        </w:rPr>
        <w:t xml:space="preserve">thì cách cho điểm như sau: </w:t>
      </w:r>
    </w:p>
    <w:tbl>
      <w:tblPr>
        <w:tblStyle w:val="TableGrid"/>
        <w:tblW w:w="7140" w:type="dxa"/>
        <w:tblInd w:w="975" w:type="dxa"/>
        <w:tblCellMar>
          <w:top w:w="15" w:type="dxa"/>
          <w:left w:w="5" w:type="dxa"/>
          <w:right w:w="115" w:type="dxa"/>
        </w:tblCellMar>
        <w:tblLook w:val="04A0" w:firstRow="1" w:lastRow="0" w:firstColumn="1" w:lastColumn="0" w:noHBand="0" w:noVBand="1"/>
      </w:tblPr>
      <w:tblGrid>
        <w:gridCol w:w="1988"/>
        <w:gridCol w:w="2257"/>
        <w:gridCol w:w="2895"/>
      </w:tblGrid>
      <w:tr w:rsidR="00527608" w:rsidRPr="00527608" w14:paraId="12EF9C3A" w14:textId="77777777">
        <w:trPr>
          <w:trHeight w:val="355"/>
        </w:trPr>
        <w:tc>
          <w:tcPr>
            <w:tcW w:w="1988" w:type="dxa"/>
            <w:tcBorders>
              <w:top w:val="single" w:sz="4" w:space="0" w:color="000000"/>
              <w:left w:val="single" w:sz="4" w:space="0" w:color="000000"/>
              <w:bottom w:val="single" w:sz="4" w:space="0" w:color="000000"/>
              <w:right w:val="single" w:sz="4" w:space="0" w:color="000000"/>
            </w:tcBorders>
            <w:vAlign w:val="bottom"/>
          </w:tcPr>
          <w:p w14:paraId="4005FC6D" w14:textId="77777777" w:rsidR="000142BE" w:rsidRPr="00527608" w:rsidRDefault="009C704D" w:rsidP="00997EF1">
            <w:pPr>
              <w:spacing w:before="60" w:after="0" w:line="288" w:lineRule="auto"/>
              <w:ind w:left="107" w:firstLine="0"/>
              <w:jc w:val="center"/>
              <w:rPr>
                <w:color w:val="000000" w:themeColor="text1"/>
                <w:szCs w:val="28"/>
              </w:rPr>
            </w:pPr>
            <w:r w:rsidRPr="00527608">
              <w:rPr>
                <w:b/>
                <w:color w:val="000000" w:themeColor="text1"/>
                <w:szCs w:val="28"/>
              </w:rPr>
              <w:t>Giá trị</w:t>
            </w:r>
          </w:p>
        </w:tc>
        <w:tc>
          <w:tcPr>
            <w:tcW w:w="2257" w:type="dxa"/>
            <w:tcBorders>
              <w:top w:val="single" w:sz="4" w:space="0" w:color="000000"/>
              <w:left w:val="single" w:sz="4" w:space="0" w:color="000000"/>
              <w:bottom w:val="single" w:sz="4" w:space="0" w:color="000000"/>
              <w:right w:val="single" w:sz="4" w:space="0" w:color="000000"/>
            </w:tcBorders>
            <w:vAlign w:val="bottom"/>
          </w:tcPr>
          <w:p w14:paraId="40B1AC14" w14:textId="77777777" w:rsidR="000142BE" w:rsidRPr="00527608" w:rsidRDefault="009C704D" w:rsidP="00997EF1">
            <w:pPr>
              <w:spacing w:before="60" w:after="0" w:line="288" w:lineRule="auto"/>
              <w:ind w:left="94" w:firstLine="0"/>
              <w:jc w:val="center"/>
              <w:rPr>
                <w:color w:val="000000" w:themeColor="text1"/>
                <w:szCs w:val="28"/>
              </w:rPr>
            </w:pPr>
            <w:r w:rsidRPr="00527608">
              <w:rPr>
                <w:b/>
                <w:color w:val="000000" w:themeColor="text1"/>
                <w:szCs w:val="28"/>
              </w:rPr>
              <w:t>Điểm đánh giá</w:t>
            </w:r>
          </w:p>
        </w:tc>
        <w:tc>
          <w:tcPr>
            <w:tcW w:w="2895" w:type="dxa"/>
            <w:tcBorders>
              <w:top w:val="single" w:sz="4" w:space="0" w:color="000000"/>
              <w:left w:val="single" w:sz="4" w:space="0" w:color="000000"/>
              <w:bottom w:val="single" w:sz="4" w:space="0" w:color="000000"/>
              <w:right w:val="single" w:sz="4" w:space="0" w:color="000000"/>
            </w:tcBorders>
          </w:tcPr>
          <w:p w14:paraId="7B2343DE" w14:textId="77777777" w:rsidR="000142BE" w:rsidRPr="00527608" w:rsidRDefault="009C704D" w:rsidP="00997EF1">
            <w:pPr>
              <w:spacing w:before="60" w:after="0" w:line="288" w:lineRule="auto"/>
              <w:ind w:left="106" w:firstLine="0"/>
              <w:jc w:val="center"/>
              <w:rPr>
                <w:color w:val="000000" w:themeColor="text1"/>
                <w:szCs w:val="28"/>
              </w:rPr>
            </w:pPr>
            <w:r w:rsidRPr="00527608">
              <w:rPr>
                <w:b/>
                <w:color w:val="000000" w:themeColor="text1"/>
                <w:szCs w:val="28"/>
              </w:rPr>
              <w:t>Ghi chú</w:t>
            </w:r>
          </w:p>
        </w:tc>
      </w:tr>
      <w:tr w:rsidR="00527608" w:rsidRPr="00527608" w14:paraId="770B7684" w14:textId="77777777">
        <w:trPr>
          <w:trHeight w:val="379"/>
        </w:trPr>
        <w:tc>
          <w:tcPr>
            <w:tcW w:w="1988" w:type="dxa"/>
            <w:tcBorders>
              <w:top w:val="single" w:sz="4" w:space="0" w:color="000000"/>
              <w:left w:val="single" w:sz="4" w:space="0" w:color="000000"/>
              <w:bottom w:val="single" w:sz="4" w:space="0" w:color="000000"/>
              <w:right w:val="single" w:sz="4" w:space="0" w:color="000000"/>
            </w:tcBorders>
          </w:tcPr>
          <w:p w14:paraId="0D492B39"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20%</w:t>
            </w:r>
          </w:p>
        </w:tc>
        <w:tc>
          <w:tcPr>
            <w:tcW w:w="2257" w:type="dxa"/>
            <w:tcBorders>
              <w:top w:val="single" w:sz="4" w:space="0" w:color="000000"/>
              <w:left w:val="single" w:sz="4" w:space="0" w:color="000000"/>
              <w:bottom w:val="single" w:sz="4" w:space="0" w:color="000000"/>
              <w:right w:val="single" w:sz="4" w:space="0" w:color="000000"/>
            </w:tcBorders>
          </w:tcPr>
          <w:p w14:paraId="4B0BEE7E"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2.0</w:t>
            </w:r>
          </w:p>
        </w:tc>
        <w:tc>
          <w:tcPr>
            <w:tcW w:w="2895" w:type="dxa"/>
            <w:tcBorders>
              <w:top w:val="single" w:sz="4" w:space="0" w:color="000000"/>
              <w:left w:val="single" w:sz="4" w:space="0" w:color="000000"/>
              <w:bottom w:val="single" w:sz="4" w:space="0" w:color="000000"/>
              <w:right w:val="single" w:sz="4" w:space="0" w:color="000000"/>
            </w:tcBorders>
          </w:tcPr>
          <w:p w14:paraId="23C927E0" w14:textId="77777777" w:rsidR="000142BE" w:rsidRPr="00527608" w:rsidRDefault="000142BE" w:rsidP="00997EF1">
            <w:pPr>
              <w:spacing w:before="60" w:after="0" w:line="288" w:lineRule="auto"/>
              <w:ind w:left="0" w:firstLine="0"/>
              <w:jc w:val="left"/>
              <w:rPr>
                <w:color w:val="000000" w:themeColor="text1"/>
                <w:szCs w:val="28"/>
              </w:rPr>
            </w:pPr>
          </w:p>
        </w:tc>
      </w:tr>
      <w:tr w:rsidR="00527608" w:rsidRPr="00527608" w14:paraId="7F1C9F67" w14:textId="77777777">
        <w:trPr>
          <w:trHeight w:val="380"/>
        </w:trPr>
        <w:tc>
          <w:tcPr>
            <w:tcW w:w="1988" w:type="dxa"/>
            <w:tcBorders>
              <w:top w:val="single" w:sz="4" w:space="0" w:color="000000"/>
              <w:left w:val="single" w:sz="4" w:space="0" w:color="000000"/>
              <w:bottom w:val="single" w:sz="4" w:space="0" w:color="000000"/>
              <w:right w:val="single" w:sz="4" w:space="0" w:color="000000"/>
            </w:tcBorders>
          </w:tcPr>
          <w:p w14:paraId="0DCEA45C" w14:textId="77777777" w:rsidR="000142BE" w:rsidRPr="00527608" w:rsidRDefault="009C704D" w:rsidP="00997EF1">
            <w:pPr>
              <w:spacing w:before="60" w:after="0" w:line="288" w:lineRule="auto"/>
              <w:ind w:left="104" w:firstLine="0"/>
              <w:jc w:val="center"/>
              <w:rPr>
                <w:color w:val="000000" w:themeColor="text1"/>
                <w:szCs w:val="28"/>
              </w:rPr>
            </w:pPr>
            <w:r w:rsidRPr="00527608">
              <w:rPr>
                <w:color w:val="000000" w:themeColor="text1"/>
                <w:szCs w:val="28"/>
              </w:rPr>
              <w:t>27%</w:t>
            </w:r>
          </w:p>
        </w:tc>
        <w:tc>
          <w:tcPr>
            <w:tcW w:w="2257" w:type="dxa"/>
            <w:tcBorders>
              <w:top w:val="single" w:sz="4" w:space="0" w:color="000000"/>
              <w:left w:val="single" w:sz="4" w:space="0" w:color="000000"/>
              <w:bottom w:val="single" w:sz="4" w:space="0" w:color="000000"/>
              <w:right w:val="single" w:sz="4" w:space="0" w:color="000000"/>
            </w:tcBorders>
          </w:tcPr>
          <w:p w14:paraId="4B842162" w14:textId="77777777" w:rsidR="000142BE" w:rsidRPr="00527608" w:rsidRDefault="009C704D" w:rsidP="00997EF1">
            <w:pPr>
              <w:spacing w:before="60" w:after="0" w:line="288" w:lineRule="auto"/>
              <w:ind w:left="101" w:firstLine="0"/>
              <w:jc w:val="center"/>
              <w:rPr>
                <w:color w:val="000000" w:themeColor="text1"/>
                <w:szCs w:val="28"/>
              </w:rPr>
            </w:pPr>
            <w:r w:rsidRPr="00527608">
              <w:rPr>
                <w:color w:val="000000" w:themeColor="text1"/>
                <w:szCs w:val="28"/>
              </w:rPr>
              <w:t>2.5</w:t>
            </w:r>
          </w:p>
        </w:tc>
        <w:tc>
          <w:tcPr>
            <w:tcW w:w="2895" w:type="dxa"/>
            <w:tcBorders>
              <w:top w:val="single" w:sz="4" w:space="0" w:color="000000"/>
              <w:left w:val="single" w:sz="4" w:space="0" w:color="000000"/>
              <w:bottom w:val="single" w:sz="4" w:space="0" w:color="000000"/>
              <w:right w:val="single" w:sz="4" w:space="0" w:color="000000"/>
            </w:tcBorders>
          </w:tcPr>
          <w:p w14:paraId="27017CC7" w14:textId="77777777" w:rsidR="000142BE" w:rsidRPr="00527608" w:rsidRDefault="009C704D" w:rsidP="00997EF1">
            <w:pPr>
              <w:spacing w:before="60" w:after="0" w:line="288" w:lineRule="auto"/>
              <w:ind w:left="95" w:firstLine="0"/>
              <w:jc w:val="center"/>
              <w:rPr>
                <w:color w:val="000000" w:themeColor="text1"/>
                <w:szCs w:val="28"/>
              </w:rPr>
            </w:pPr>
            <w:r w:rsidRPr="00527608">
              <w:rPr>
                <w:color w:val="000000" w:themeColor="text1"/>
                <w:szCs w:val="28"/>
              </w:rPr>
              <w:t xml:space="preserve">21%-27% </w:t>
            </w:r>
          </w:p>
        </w:tc>
      </w:tr>
      <w:tr w:rsidR="00527608" w:rsidRPr="00527608" w14:paraId="2EC6B0B0" w14:textId="77777777">
        <w:trPr>
          <w:trHeight w:val="379"/>
        </w:trPr>
        <w:tc>
          <w:tcPr>
            <w:tcW w:w="1988" w:type="dxa"/>
            <w:tcBorders>
              <w:top w:val="single" w:sz="4" w:space="0" w:color="000000"/>
              <w:left w:val="single" w:sz="4" w:space="0" w:color="000000"/>
              <w:bottom w:val="single" w:sz="4" w:space="0" w:color="000000"/>
              <w:right w:val="single" w:sz="4" w:space="0" w:color="000000"/>
            </w:tcBorders>
          </w:tcPr>
          <w:p w14:paraId="081C2CB4" w14:textId="77777777" w:rsidR="000142BE" w:rsidRPr="00527608" w:rsidRDefault="009C704D" w:rsidP="00997EF1">
            <w:pPr>
              <w:spacing w:before="60" w:after="0" w:line="288" w:lineRule="auto"/>
              <w:ind w:left="104" w:firstLine="0"/>
              <w:jc w:val="center"/>
              <w:rPr>
                <w:color w:val="000000" w:themeColor="text1"/>
                <w:szCs w:val="28"/>
              </w:rPr>
            </w:pPr>
            <w:r w:rsidRPr="00527608">
              <w:rPr>
                <w:color w:val="000000" w:themeColor="text1"/>
                <w:szCs w:val="28"/>
              </w:rPr>
              <w:t>34%</w:t>
            </w:r>
          </w:p>
        </w:tc>
        <w:tc>
          <w:tcPr>
            <w:tcW w:w="2257" w:type="dxa"/>
            <w:tcBorders>
              <w:top w:val="single" w:sz="4" w:space="0" w:color="000000"/>
              <w:left w:val="single" w:sz="4" w:space="0" w:color="000000"/>
              <w:bottom w:val="single" w:sz="4" w:space="0" w:color="000000"/>
              <w:right w:val="single" w:sz="4" w:space="0" w:color="000000"/>
            </w:tcBorders>
          </w:tcPr>
          <w:p w14:paraId="3BEBB9A7" w14:textId="77777777" w:rsidR="000142BE" w:rsidRPr="00527608" w:rsidRDefault="009C704D" w:rsidP="00997EF1">
            <w:pPr>
              <w:spacing w:before="60" w:after="0" w:line="288" w:lineRule="auto"/>
              <w:ind w:left="101" w:firstLine="0"/>
              <w:jc w:val="center"/>
              <w:rPr>
                <w:color w:val="000000" w:themeColor="text1"/>
                <w:szCs w:val="28"/>
              </w:rPr>
            </w:pPr>
            <w:r w:rsidRPr="00527608">
              <w:rPr>
                <w:color w:val="000000" w:themeColor="text1"/>
                <w:szCs w:val="28"/>
              </w:rPr>
              <w:t>3.0</w:t>
            </w:r>
          </w:p>
        </w:tc>
        <w:tc>
          <w:tcPr>
            <w:tcW w:w="2895" w:type="dxa"/>
            <w:tcBorders>
              <w:top w:val="single" w:sz="4" w:space="0" w:color="000000"/>
              <w:left w:val="single" w:sz="4" w:space="0" w:color="000000"/>
              <w:bottom w:val="single" w:sz="4" w:space="0" w:color="000000"/>
              <w:right w:val="single" w:sz="4" w:space="0" w:color="000000"/>
            </w:tcBorders>
          </w:tcPr>
          <w:p w14:paraId="5D3E015A" w14:textId="77777777" w:rsidR="000142BE" w:rsidRPr="00527608" w:rsidRDefault="009C704D" w:rsidP="00997EF1">
            <w:pPr>
              <w:spacing w:before="60" w:after="0" w:line="288" w:lineRule="auto"/>
              <w:ind w:left="95" w:firstLine="0"/>
              <w:jc w:val="center"/>
              <w:rPr>
                <w:color w:val="000000" w:themeColor="text1"/>
                <w:szCs w:val="28"/>
              </w:rPr>
            </w:pPr>
            <w:r w:rsidRPr="00527608">
              <w:rPr>
                <w:color w:val="000000" w:themeColor="text1"/>
                <w:szCs w:val="28"/>
              </w:rPr>
              <w:t xml:space="preserve">28%-34% </w:t>
            </w:r>
          </w:p>
        </w:tc>
      </w:tr>
      <w:tr w:rsidR="00527608" w:rsidRPr="00527608" w14:paraId="54890886" w14:textId="77777777">
        <w:trPr>
          <w:trHeight w:val="374"/>
        </w:trPr>
        <w:tc>
          <w:tcPr>
            <w:tcW w:w="1988" w:type="dxa"/>
            <w:tcBorders>
              <w:top w:val="single" w:sz="4" w:space="0" w:color="000000"/>
              <w:left w:val="single" w:sz="4" w:space="0" w:color="000000"/>
              <w:bottom w:val="single" w:sz="4" w:space="0" w:color="000000"/>
              <w:right w:val="single" w:sz="4" w:space="0" w:color="000000"/>
            </w:tcBorders>
          </w:tcPr>
          <w:p w14:paraId="1775255C"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 xml:space="preserve">40% </w:t>
            </w:r>
          </w:p>
        </w:tc>
        <w:tc>
          <w:tcPr>
            <w:tcW w:w="2257" w:type="dxa"/>
            <w:tcBorders>
              <w:top w:val="single" w:sz="4" w:space="0" w:color="000000"/>
              <w:left w:val="single" w:sz="4" w:space="0" w:color="000000"/>
              <w:bottom w:val="single" w:sz="4" w:space="0" w:color="000000"/>
              <w:right w:val="single" w:sz="4" w:space="0" w:color="000000"/>
            </w:tcBorders>
          </w:tcPr>
          <w:p w14:paraId="0426F099"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 xml:space="preserve">3.5 </w:t>
            </w:r>
          </w:p>
        </w:tc>
        <w:tc>
          <w:tcPr>
            <w:tcW w:w="2895" w:type="dxa"/>
            <w:tcBorders>
              <w:top w:val="single" w:sz="4" w:space="0" w:color="000000"/>
              <w:left w:val="single" w:sz="4" w:space="0" w:color="000000"/>
              <w:bottom w:val="single" w:sz="4" w:space="0" w:color="000000"/>
              <w:right w:val="single" w:sz="4" w:space="0" w:color="000000"/>
            </w:tcBorders>
          </w:tcPr>
          <w:p w14:paraId="64E8DD92"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34%-40%</w:t>
            </w:r>
          </w:p>
        </w:tc>
      </w:tr>
      <w:tr w:rsidR="00527608" w:rsidRPr="00527608" w14:paraId="64542944" w14:textId="77777777">
        <w:trPr>
          <w:trHeight w:val="379"/>
        </w:trPr>
        <w:tc>
          <w:tcPr>
            <w:tcW w:w="1988" w:type="dxa"/>
            <w:tcBorders>
              <w:top w:val="single" w:sz="4" w:space="0" w:color="000000"/>
              <w:left w:val="single" w:sz="4" w:space="0" w:color="000000"/>
              <w:bottom w:val="single" w:sz="4" w:space="0" w:color="000000"/>
              <w:right w:val="single" w:sz="4" w:space="0" w:color="000000"/>
            </w:tcBorders>
          </w:tcPr>
          <w:p w14:paraId="2818D865" w14:textId="77777777" w:rsidR="000142BE" w:rsidRPr="00527608" w:rsidRDefault="009C704D" w:rsidP="00997EF1">
            <w:pPr>
              <w:spacing w:before="60" w:after="0" w:line="288" w:lineRule="auto"/>
              <w:ind w:left="104" w:firstLine="0"/>
              <w:jc w:val="center"/>
              <w:rPr>
                <w:color w:val="000000" w:themeColor="text1"/>
                <w:szCs w:val="28"/>
              </w:rPr>
            </w:pPr>
            <w:r w:rsidRPr="00527608">
              <w:rPr>
                <w:color w:val="000000" w:themeColor="text1"/>
                <w:szCs w:val="28"/>
              </w:rPr>
              <w:t>47%</w:t>
            </w:r>
          </w:p>
        </w:tc>
        <w:tc>
          <w:tcPr>
            <w:tcW w:w="2257" w:type="dxa"/>
            <w:tcBorders>
              <w:top w:val="single" w:sz="4" w:space="0" w:color="000000"/>
              <w:left w:val="single" w:sz="4" w:space="0" w:color="000000"/>
              <w:bottom w:val="single" w:sz="4" w:space="0" w:color="000000"/>
              <w:right w:val="single" w:sz="4" w:space="0" w:color="000000"/>
            </w:tcBorders>
          </w:tcPr>
          <w:p w14:paraId="5C325AC1" w14:textId="77777777" w:rsidR="000142BE" w:rsidRPr="00527608" w:rsidRDefault="009C704D" w:rsidP="00997EF1">
            <w:pPr>
              <w:spacing w:before="60" w:after="0" w:line="288" w:lineRule="auto"/>
              <w:ind w:left="101" w:firstLine="0"/>
              <w:jc w:val="center"/>
              <w:rPr>
                <w:color w:val="000000" w:themeColor="text1"/>
                <w:szCs w:val="28"/>
              </w:rPr>
            </w:pPr>
            <w:r w:rsidRPr="00527608">
              <w:rPr>
                <w:color w:val="000000" w:themeColor="text1"/>
                <w:szCs w:val="28"/>
              </w:rPr>
              <w:t>4.0</w:t>
            </w:r>
          </w:p>
        </w:tc>
        <w:tc>
          <w:tcPr>
            <w:tcW w:w="2895" w:type="dxa"/>
            <w:tcBorders>
              <w:top w:val="single" w:sz="4" w:space="0" w:color="000000"/>
              <w:left w:val="single" w:sz="4" w:space="0" w:color="000000"/>
              <w:bottom w:val="single" w:sz="4" w:space="0" w:color="000000"/>
              <w:right w:val="single" w:sz="4" w:space="0" w:color="000000"/>
            </w:tcBorders>
          </w:tcPr>
          <w:p w14:paraId="12D08392" w14:textId="77777777" w:rsidR="000142BE" w:rsidRPr="00527608" w:rsidRDefault="009C704D" w:rsidP="00997EF1">
            <w:pPr>
              <w:spacing w:before="60" w:after="0" w:line="288" w:lineRule="auto"/>
              <w:ind w:left="95" w:firstLine="0"/>
              <w:jc w:val="center"/>
              <w:rPr>
                <w:color w:val="000000" w:themeColor="text1"/>
                <w:szCs w:val="28"/>
              </w:rPr>
            </w:pPr>
            <w:r w:rsidRPr="00527608">
              <w:rPr>
                <w:color w:val="000000" w:themeColor="text1"/>
                <w:szCs w:val="28"/>
              </w:rPr>
              <w:t xml:space="preserve">40%-47% </w:t>
            </w:r>
          </w:p>
        </w:tc>
      </w:tr>
      <w:tr w:rsidR="00527608" w:rsidRPr="00527608" w14:paraId="3234B465" w14:textId="77777777">
        <w:trPr>
          <w:trHeight w:val="380"/>
        </w:trPr>
        <w:tc>
          <w:tcPr>
            <w:tcW w:w="1988" w:type="dxa"/>
            <w:tcBorders>
              <w:top w:val="single" w:sz="4" w:space="0" w:color="000000"/>
              <w:left w:val="single" w:sz="4" w:space="0" w:color="000000"/>
              <w:bottom w:val="single" w:sz="4" w:space="0" w:color="000000"/>
              <w:right w:val="single" w:sz="4" w:space="0" w:color="000000"/>
            </w:tcBorders>
          </w:tcPr>
          <w:p w14:paraId="0BBFFC82" w14:textId="77777777" w:rsidR="000142BE" w:rsidRPr="00527608" w:rsidRDefault="009C704D" w:rsidP="00997EF1">
            <w:pPr>
              <w:spacing w:before="60" w:after="0" w:line="288" w:lineRule="auto"/>
              <w:ind w:left="104" w:firstLine="0"/>
              <w:jc w:val="center"/>
              <w:rPr>
                <w:color w:val="000000" w:themeColor="text1"/>
                <w:szCs w:val="28"/>
              </w:rPr>
            </w:pPr>
            <w:r w:rsidRPr="00527608">
              <w:rPr>
                <w:color w:val="000000" w:themeColor="text1"/>
                <w:szCs w:val="28"/>
              </w:rPr>
              <w:t>54%</w:t>
            </w:r>
          </w:p>
        </w:tc>
        <w:tc>
          <w:tcPr>
            <w:tcW w:w="2257" w:type="dxa"/>
            <w:tcBorders>
              <w:top w:val="single" w:sz="4" w:space="0" w:color="000000"/>
              <w:left w:val="single" w:sz="4" w:space="0" w:color="000000"/>
              <w:bottom w:val="single" w:sz="4" w:space="0" w:color="000000"/>
              <w:right w:val="single" w:sz="4" w:space="0" w:color="000000"/>
            </w:tcBorders>
          </w:tcPr>
          <w:p w14:paraId="5F46C2CB" w14:textId="77777777" w:rsidR="000142BE" w:rsidRPr="00527608" w:rsidRDefault="009C704D" w:rsidP="00997EF1">
            <w:pPr>
              <w:spacing w:before="60" w:after="0" w:line="288" w:lineRule="auto"/>
              <w:ind w:left="101" w:firstLine="0"/>
              <w:jc w:val="center"/>
              <w:rPr>
                <w:color w:val="000000" w:themeColor="text1"/>
                <w:szCs w:val="28"/>
              </w:rPr>
            </w:pPr>
            <w:r w:rsidRPr="00527608">
              <w:rPr>
                <w:color w:val="000000" w:themeColor="text1"/>
                <w:szCs w:val="28"/>
              </w:rPr>
              <w:t>4.5</w:t>
            </w:r>
          </w:p>
        </w:tc>
        <w:tc>
          <w:tcPr>
            <w:tcW w:w="2895" w:type="dxa"/>
            <w:tcBorders>
              <w:top w:val="single" w:sz="4" w:space="0" w:color="000000"/>
              <w:left w:val="single" w:sz="4" w:space="0" w:color="000000"/>
              <w:bottom w:val="single" w:sz="4" w:space="0" w:color="000000"/>
              <w:right w:val="single" w:sz="4" w:space="0" w:color="000000"/>
            </w:tcBorders>
          </w:tcPr>
          <w:p w14:paraId="38ABCF19" w14:textId="77777777" w:rsidR="000142BE" w:rsidRPr="00527608" w:rsidRDefault="009C704D" w:rsidP="00997EF1">
            <w:pPr>
              <w:spacing w:before="60" w:after="0" w:line="288" w:lineRule="auto"/>
              <w:ind w:left="95" w:firstLine="0"/>
              <w:jc w:val="center"/>
              <w:rPr>
                <w:color w:val="000000" w:themeColor="text1"/>
                <w:szCs w:val="28"/>
              </w:rPr>
            </w:pPr>
            <w:r w:rsidRPr="00527608">
              <w:rPr>
                <w:color w:val="000000" w:themeColor="text1"/>
                <w:szCs w:val="28"/>
              </w:rPr>
              <w:t xml:space="preserve">48%-54% </w:t>
            </w:r>
          </w:p>
        </w:tc>
      </w:tr>
      <w:tr w:rsidR="00527608" w:rsidRPr="00527608" w14:paraId="4DB29481" w14:textId="77777777">
        <w:trPr>
          <w:trHeight w:val="379"/>
        </w:trPr>
        <w:tc>
          <w:tcPr>
            <w:tcW w:w="1988" w:type="dxa"/>
            <w:tcBorders>
              <w:top w:val="single" w:sz="4" w:space="0" w:color="000000"/>
              <w:left w:val="single" w:sz="4" w:space="0" w:color="000000"/>
              <w:bottom w:val="single" w:sz="4" w:space="0" w:color="000000"/>
              <w:right w:val="single" w:sz="4" w:space="0" w:color="000000"/>
            </w:tcBorders>
          </w:tcPr>
          <w:p w14:paraId="2AF95704"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 xml:space="preserve">60% </w:t>
            </w:r>
          </w:p>
        </w:tc>
        <w:tc>
          <w:tcPr>
            <w:tcW w:w="2257" w:type="dxa"/>
            <w:tcBorders>
              <w:top w:val="single" w:sz="4" w:space="0" w:color="000000"/>
              <w:left w:val="single" w:sz="4" w:space="0" w:color="000000"/>
              <w:bottom w:val="single" w:sz="4" w:space="0" w:color="000000"/>
              <w:right w:val="single" w:sz="4" w:space="0" w:color="000000"/>
            </w:tcBorders>
          </w:tcPr>
          <w:p w14:paraId="3A8C0381"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 xml:space="preserve">5.0 </w:t>
            </w:r>
          </w:p>
        </w:tc>
        <w:tc>
          <w:tcPr>
            <w:tcW w:w="2895" w:type="dxa"/>
            <w:tcBorders>
              <w:top w:val="single" w:sz="4" w:space="0" w:color="000000"/>
              <w:left w:val="single" w:sz="4" w:space="0" w:color="000000"/>
              <w:bottom w:val="single" w:sz="4" w:space="0" w:color="000000"/>
              <w:right w:val="single" w:sz="4" w:space="0" w:color="000000"/>
            </w:tcBorders>
          </w:tcPr>
          <w:p w14:paraId="286F378B" w14:textId="77777777" w:rsidR="000142BE" w:rsidRPr="00527608" w:rsidRDefault="009C704D" w:rsidP="00997EF1">
            <w:pPr>
              <w:spacing w:before="60" w:after="0" w:line="288" w:lineRule="auto"/>
              <w:ind w:left="101" w:firstLine="0"/>
              <w:jc w:val="center"/>
              <w:rPr>
                <w:color w:val="000000" w:themeColor="text1"/>
                <w:szCs w:val="28"/>
              </w:rPr>
            </w:pPr>
            <w:r w:rsidRPr="00527608">
              <w:rPr>
                <w:b/>
                <w:color w:val="000000" w:themeColor="text1"/>
                <w:szCs w:val="28"/>
              </w:rPr>
              <w:t>55%-60%</w:t>
            </w:r>
          </w:p>
        </w:tc>
      </w:tr>
    </w:tbl>
    <w:p w14:paraId="56F7FDDE" w14:textId="77777777" w:rsidR="000142BE" w:rsidRPr="00527608" w:rsidRDefault="009C704D" w:rsidP="00997EF1">
      <w:pPr>
        <w:pStyle w:val="Heading2"/>
        <w:spacing w:before="60" w:after="0" w:line="288" w:lineRule="auto"/>
        <w:ind w:left="0" w:firstLine="0"/>
        <w:rPr>
          <w:color w:val="000000" w:themeColor="text1"/>
          <w:szCs w:val="28"/>
        </w:rPr>
      </w:pPr>
      <w:bookmarkStart w:id="9" w:name="_Toc181953338"/>
      <w:bookmarkStart w:id="10" w:name="_Toc182148275"/>
      <w:bookmarkStart w:id="11" w:name="_Toc182148823"/>
      <w:r w:rsidRPr="00527608">
        <w:rPr>
          <w:color w:val="000000" w:themeColor="text1"/>
          <w:szCs w:val="28"/>
        </w:rPr>
        <w:t xml:space="preserve">3. </w:t>
      </w:r>
      <w:r w:rsidRPr="00527608">
        <w:rPr>
          <w:color w:val="000000" w:themeColor="text1"/>
        </w:rPr>
        <w:t>Minh</w:t>
      </w:r>
      <w:r w:rsidRPr="00527608">
        <w:rPr>
          <w:color w:val="000000" w:themeColor="text1"/>
          <w:szCs w:val="28"/>
        </w:rPr>
        <w:t xml:space="preserve"> chứng</w:t>
      </w:r>
      <w:bookmarkEnd w:id="9"/>
      <w:bookmarkEnd w:id="10"/>
      <w:bookmarkEnd w:id="11"/>
    </w:p>
    <w:p w14:paraId="02D301CC" w14:textId="77777777" w:rsidR="000142BE" w:rsidRPr="00527608" w:rsidRDefault="006972C3"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 xml:space="preserve">Trong đánh giá mức độ chuyển đổi số, minh chứng là những văn bản, hồ sơ, sổ sách, phần mềm, hệ thống phần mềm, hình ảnh, âm thanh, dữ liệu (dạng bản cứng, bản mềm), băng, đĩa hình, hiện vật đã và đang có của nhà trường phù hợp với nội hàm (yêu cầu) trong từng tiêu chí. Minh chứng được sử dụng để chứng minh cho các phân tích, giải thích từ đó đưa ra các nhận định, kết luận trong báo cáo tự đánh giá.  </w:t>
      </w:r>
    </w:p>
    <w:p w14:paraId="73F8A1E8" w14:textId="77777777" w:rsidR="006972C3" w:rsidRDefault="006972C3" w:rsidP="00997EF1">
      <w:pPr>
        <w:spacing w:before="60" w:after="0" w:line="288" w:lineRule="auto"/>
        <w:ind w:right="5" w:firstLine="691"/>
        <w:rPr>
          <w:color w:val="000000" w:themeColor="text1"/>
          <w:szCs w:val="28"/>
        </w:rPr>
      </w:pPr>
      <w:r w:rsidRPr="00527608">
        <w:rPr>
          <w:color w:val="000000" w:themeColor="text1"/>
          <w:szCs w:val="28"/>
        </w:rPr>
        <w:t xml:space="preserve">- </w:t>
      </w:r>
      <w:r w:rsidR="009C704D" w:rsidRPr="00527608">
        <w:rPr>
          <w:color w:val="000000" w:themeColor="text1"/>
          <w:szCs w:val="28"/>
        </w:rPr>
        <w:t>Minh chứng được sử dụng cho từng tiêu chí trong báo cáo tự đánh giá theo năm học thì thời điểm thu thập minh chứng tính từ bắt đầu năm học mới.</w:t>
      </w:r>
    </w:p>
    <w:p w14:paraId="24684755" w14:textId="77777777" w:rsidR="003B7B23" w:rsidRPr="00BE34CE" w:rsidRDefault="003B7B23" w:rsidP="003B7B23">
      <w:pPr>
        <w:pStyle w:val="Heading2"/>
        <w:spacing w:before="60" w:after="0" w:line="288" w:lineRule="auto"/>
        <w:ind w:left="10"/>
        <w:jc w:val="both"/>
        <w:rPr>
          <w:szCs w:val="28"/>
          <w:lang w:val="vi-VN"/>
        </w:rPr>
      </w:pPr>
      <w:r>
        <w:rPr>
          <w:szCs w:val="28"/>
          <w:lang w:val="vi-VN"/>
        </w:rPr>
        <w:t>4</w:t>
      </w:r>
      <w:r w:rsidRPr="00BE34CE">
        <w:rPr>
          <w:szCs w:val="28"/>
          <w:lang w:val="vi-VN"/>
        </w:rPr>
        <w:t xml:space="preserve">. Lưu ý công tác tự đánh giá mức độ chuyển đổi số của các cơ sở giáo dục </w:t>
      </w:r>
    </w:p>
    <w:p w14:paraId="4F8550A2" w14:textId="77777777" w:rsidR="003B7B23" w:rsidRPr="003B7B23" w:rsidRDefault="003B7B23" w:rsidP="003B7B23">
      <w:pPr>
        <w:spacing w:before="60" w:after="0" w:line="288" w:lineRule="auto"/>
        <w:ind w:left="-10" w:right="5" w:firstLine="706"/>
        <w:rPr>
          <w:color w:val="000000" w:themeColor="text1"/>
          <w:szCs w:val="28"/>
          <w:lang w:val="vi-VN"/>
        </w:rPr>
      </w:pPr>
      <w:r w:rsidRPr="003B7B23">
        <w:rPr>
          <w:color w:val="000000" w:themeColor="text1"/>
          <w:szCs w:val="28"/>
          <w:lang w:val="vi-VN"/>
        </w:rPr>
        <w:t xml:space="preserve">Hoạt động tự đánh giá là nhiệm vụ quan trọng của mỗi cơ sở giáo dục nhằm thúc đẩy hoạt động chuyển đổi số tại đơn vị, do đó các cơ sở giáo dục cần hiểu và làm rõ thêm các nội dung sau: </w:t>
      </w:r>
    </w:p>
    <w:p w14:paraId="48733F00" w14:textId="77777777" w:rsidR="003B7B23" w:rsidRPr="00527608" w:rsidRDefault="003B7B23" w:rsidP="003B7B23">
      <w:pPr>
        <w:pStyle w:val="Heading2"/>
        <w:spacing w:before="60" w:after="0" w:line="288" w:lineRule="auto"/>
        <w:ind w:left="0" w:firstLine="696"/>
        <w:rPr>
          <w:color w:val="000000" w:themeColor="text1"/>
        </w:rPr>
      </w:pPr>
      <w:bookmarkStart w:id="12" w:name="_Toc181953377"/>
      <w:bookmarkStart w:id="13" w:name="_Toc182148303"/>
      <w:bookmarkStart w:id="14" w:name="_Toc182148850"/>
      <w:r>
        <w:rPr>
          <w:color w:val="000000" w:themeColor="text1"/>
          <w:lang w:val="vi-VN"/>
        </w:rPr>
        <w:t>a)</w:t>
      </w:r>
      <w:r w:rsidRPr="00527608">
        <w:rPr>
          <w:color w:val="000000" w:themeColor="text1"/>
        </w:rPr>
        <w:t xml:space="preserve"> Thu thập minh chứng</w:t>
      </w:r>
      <w:bookmarkEnd w:id="12"/>
      <w:bookmarkEnd w:id="13"/>
      <w:bookmarkEnd w:id="14"/>
    </w:p>
    <w:p w14:paraId="0844CF46"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Để thu thập minh chứng sát thực, đánh giá đúng thực trạng của cơ sở giáo dục và nội hàm của các tiêu chí, chỉ số yêu cầu đơn vị thực hiện tốt công tác xác định rõ nội hàm và phân tích kỹ từng tiêu chí để tìm minh chứng phù hợp, sắp xếp minh chứng theo thứ tự nội hàm tiêu chí đánh giá mức độ chuyển đổi số. </w:t>
      </w:r>
    </w:p>
    <w:p w14:paraId="52D075F6"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lastRenderedPageBreak/>
        <w:t xml:space="preserve">Mỗi tiêu chí có phiếu xác định nội hàm, phân tích tìm minh chứng, phiếu được lưu trữ trong hồ sơ tự đánh giá làm cơ sở để thu thập minh chứng và đánh giá của Hội đồng tự đánh giá, của Đoàn đánh giá ngoài. </w:t>
      </w:r>
    </w:p>
    <w:p w14:paraId="224A4DCA" w14:textId="77777777" w:rsidR="003B7B23" w:rsidRPr="00527608" w:rsidRDefault="003B7B23" w:rsidP="003B7B23">
      <w:pPr>
        <w:pStyle w:val="Heading2"/>
        <w:spacing w:before="60" w:after="0" w:line="288" w:lineRule="auto"/>
        <w:ind w:left="0" w:firstLine="696"/>
        <w:rPr>
          <w:color w:val="000000" w:themeColor="text1"/>
          <w:szCs w:val="28"/>
        </w:rPr>
      </w:pPr>
      <w:bookmarkStart w:id="15" w:name="_Toc181953378"/>
      <w:bookmarkStart w:id="16" w:name="_Toc182148304"/>
      <w:bookmarkStart w:id="17" w:name="_Toc182148851"/>
      <w:r>
        <w:rPr>
          <w:color w:val="000000" w:themeColor="text1"/>
          <w:szCs w:val="28"/>
          <w:lang w:val="vi-VN"/>
        </w:rPr>
        <w:t>b)</w:t>
      </w:r>
      <w:r w:rsidRPr="00527608">
        <w:rPr>
          <w:color w:val="000000" w:themeColor="text1"/>
          <w:szCs w:val="28"/>
        </w:rPr>
        <w:t xml:space="preserve"> Xử </w:t>
      </w:r>
      <w:r w:rsidRPr="00527608">
        <w:rPr>
          <w:color w:val="000000" w:themeColor="text1"/>
        </w:rPr>
        <w:t>lý</w:t>
      </w:r>
      <w:r w:rsidRPr="00527608">
        <w:rPr>
          <w:color w:val="000000" w:themeColor="text1"/>
          <w:szCs w:val="28"/>
        </w:rPr>
        <w:t xml:space="preserve"> và phân tích minh chứng</w:t>
      </w:r>
      <w:bookmarkEnd w:id="15"/>
      <w:bookmarkEnd w:id="16"/>
      <w:bookmarkEnd w:id="17"/>
    </w:p>
    <w:p w14:paraId="1796F5AF"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Hội đồng tự đánh giá thảo luận các minh chứng cho từng tiêu chí đã thu thập được của nhóm công tác hoặc cá nhân. Khi các minh chứng được sử dụng, Hội đồng tự đánh giá lập Bảng danh mục mã minh chứng. </w:t>
      </w:r>
    </w:p>
    <w:p w14:paraId="155BF000"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Thực tế làm công tác tự đánh giá, có những minh chứng có thể được sử dụng ngay để làm minh chứng, nhưng có tài liệu phải qua xử lý, phân tích, tổng hợp mới có thể sử dụng để làm minh chứng cho các nhận định, kết luận của tiêu chí. Mỗi cơ sở giáo dục sẽ có minh chứng cụ thể phù hợp, </w:t>
      </w:r>
      <w:r w:rsidRPr="00527608">
        <w:rPr>
          <w:b/>
          <w:i/>
          <w:color w:val="000000" w:themeColor="text1"/>
          <w:szCs w:val="28"/>
        </w:rPr>
        <w:t>không được sao chép dập khuôn giữa các đơn vị trong quá trình xây dựng Bảng danh mục mã minh chứng</w:t>
      </w:r>
      <w:r w:rsidRPr="00527608">
        <w:rPr>
          <w:color w:val="000000" w:themeColor="text1"/>
          <w:szCs w:val="28"/>
        </w:rPr>
        <w:t xml:space="preserve">; phải làm tốt công tác phân tích tiêu chí thì mới có thể thu thập, xử lý tư liệu, tài liệu để làm minh chứng cho các tiêu chí. </w:t>
      </w:r>
    </w:p>
    <w:p w14:paraId="0312F709"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Các minh chứng phù hợp với nội hàm tiêu chí sẽ được sử dụng trong báo cáo kết quả tự đánh giá. Các minh chứng này, trước khi được sử dụng cần thiết phải mã hóa với mục đích gọn, tiện tra cứu. </w:t>
      </w:r>
    </w:p>
    <w:p w14:paraId="099BCF3E" w14:textId="77777777" w:rsidR="003B7B23" w:rsidRPr="00527608" w:rsidRDefault="003B7B23" w:rsidP="003B7B23">
      <w:pPr>
        <w:pStyle w:val="Heading2"/>
        <w:spacing w:before="60" w:after="0" w:line="288" w:lineRule="auto"/>
        <w:ind w:left="0" w:firstLine="696"/>
        <w:rPr>
          <w:color w:val="000000" w:themeColor="text1"/>
          <w:szCs w:val="28"/>
        </w:rPr>
      </w:pPr>
      <w:bookmarkStart w:id="18" w:name="_Toc181953379"/>
      <w:bookmarkStart w:id="19" w:name="_Toc182148305"/>
      <w:bookmarkStart w:id="20" w:name="_Toc182148852"/>
      <w:r>
        <w:rPr>
          <w:color w:val="000000" w:themeColor="text1"/>
          <w:szCs w:val="28"/>
          <w:lang w:val="vi-VN"/>
        </w:rPr>
        <w:t>c)</w:t>
      </w:r>
      <w:r w:rsidRPr="00527608">
        <w:rPr>
          <w:color w:val="000000" w:themeColor="text1"/>
          <w:szCs w:val="28"/>
        </w:rPr>
        <w:t xml:space="preserve"> Lưu trữ và bảo </w:t>
      </w:r>
      <w:r w:rsidRPr="00527608">
        <w:rPr>
          <w:color w:val="000000" w:themeColor="text1"/>
        </w:rPr>
        <w:t>quản</w:t>
      </w:r>
      <w:bookmarkEnd w:id="18"/>
      <w:bookmarkEnd w:id="19"/>
      <w:bookmarkEnd w:id="20"/>
    </w:p>
    <w:p w14:paraId="396A2F21"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Có thể tập hợp, sắp xếp minh chứng trong các thư mục (folder) theo thứ tự mã hóa. Minh chứng hết giá trị được thay thế bằng minh chứng đang còn hiệu lực và phù hợp. Minh chứng thay thế được ghi ký hiệu của minh chứng bị thay thế và ghi rõ ngày, tháng, năm thay thế. Lưu ý, những minh chứng phục vụ công tác quản lý các hoạt động nhà trường thì lưu trữ, bảo quản tại hồ sơ lưu trữ của nhà trường, nhưng phải ghi rõ vị trí cụ thể (đường dẫn nếu là bản cứng) của minh chứng trong Bảng danh mục mã minh chứng để tiện lợi trong việc tra cứu, tìm kiếm (bản điện tử thì cung cấp đường link). </w:t>
      </w:r>
    </w:p>
    <w:p w14:paraId="399ED8E6"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Đối với những minh chứng phức tạp, cồng kềnh (các hiện vật; hệ thống hồ sơ, sổ sách; các văn bản, tài liệu, tư liệu có số lượng lớn và số trang nhiều, ...), nhà trường có thể lập các biểu, bảng tổng hợp, thống kê các dữ liệu, số liệu để thuận tiện cho việc sử dụng. </w:t>
      </w:r>
    </w:p>
    <w:p w14:paraId="1DF3CAE5"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Tăng cường ứng dụng công nghệ thông tin để hỗ trợ công tác tự đánh giá và đánh giá ngoài mức độ chuyển đổi số của các cơ sở giáo dục. Khuyến khích các đơn vị tổ chức lưu trữ trực tuyến trên các dịch vụ trực tuyến, phần mềm hỗ trợ đánh giá Bộ chỉ số của các nhà cung cấp. Chia sẻ quyền truy cập cho các nhóm thực hiện công tác tự đánh giá và cơ quan có thẩm quyền để kiểm tra, đánh giá ngoài công nhận mức độ chuyển đổi số. Cơ sở giáo dục có thể tự thiết kế cách lưu trữ hồ sơ hoặc phần mềm theo dõi, hoặc thuê đơn vị cung cấp dịch </w:t>
      </w:r>
      <w:r w:rsidRPr="00527608">
        <w:rPr>
          <w:color w:val="000000" w:themeColor="text1"/>
          <w:szCs w:val="28"/>
        </w:rPr>
        <w:lastRenderedPageBreak/>
        <w:t>vụ hỗ trợ hoạt động TĐG chỉ số chuyển đổi số của đơn vị mình; khi cơ quan quản lý yêu cầu hoặc triển khai đồng bộ phần mề</w:t>
      </w:r>
      <w:r>
        <w:rPr>
          <w:color w:val="000000" w:themeColor="text1"/>
          <w:szCs w:val="28"/>
        </w:rPr>
        <w:t>m</w:t>
      </w:r>
      <w:r w:rsidRPr="00527608">
        <w:rPr>
          <w:color w:val="000000" w:themeColor="text1"/>
          <w:szCs w:val="28"/>
        </w:rPr>
        <w:t xml:space="preserve"> trong toàn ngành thì cơ sở giáo dục dừng sử dụng hệ thống riêng, và chuyển đổi, cập nhật dữ liệu sang hệ thống chung toàn ngành (kinh phí thực hiện theo Nghị quyết 34/2021/NQ-HĐND ngày 27/8/2021 của Hội đồng nhân dân tỉnh và hướng dẫn thực hiện hàng năm của Sở GDĐT). </w:t>
      </w:r>
    </w:p>
    <w:p w14:paraId="2CBB76C7" w14:textId="77777777" w:rsidR="003B7B23" w:rsidRPr="00527608" w:rsidRDefault="003B7B23" w:rsidP="003B7B23">
      <w:pPr>
        <w:pStyle w:val="Heading2"/>
        <w:spacing w:before="60" w:after="0" w:line="288" w:lineRule="auto"/>
        <w:ind w:left="730"/>
        <w:rPr>
          <w:color w:val="000000" w:themeColor="text1"/>
          <w:szCs w:val="28"/>
        </w:rPr>
      </w:pPr>
      <w:bookmarkStart w:id="21" w:name="_Toc181953380"/>
      <w:bookmarkStart w:id="22" w:name="_Toc182148306"/>
      <w:bookmarkStart w:id="23" w:name="_Toc182148853"/>
      <w:r>
        <w:rPr>
          <w:color w:val="000000" w:themeColor="text1"/>
          <w:szCs w:val="28"/>
          <w:lang w:val="vi-VN"/>
        </w:rPr>
        <w:t>d)</w:t>
      </w:r>
      <w:r w:rsidRPr="00527608">
        <w:rPr>
          <w:color w:val="000000" w:themeColor="text1"/>
          <w:szCs w:val="28"/>
        </w:rPr>
        <w:t xml:space="preserve"> Báo cáo tự đánh giá</w:t>
      </w:r>
      <w:bookmarkEnd w:id="21"/>
      <w:bookmarkEnd w:id="22"/>
      <w:bookmarkEnd w:id="23"/>
    </w:p>
    <w:p w14:paraId="2EC883FD"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Hằng năm các cơ sở giáo dục thực hiện báo cáo tự đánh giá mức độ chuyển đổi số đảm bảo đủ các nội dung theo quy định và Thủ trưởng phê duyệt kết quả tự đánh giá; báo cáo cơ quan quản lý trực tiếp, cập nhật kết quả lên hệ thống cơ sở dữ liệu ngành trước 31/5 hằng năm. </w:t>
      </w:r>
    </w:p>
    <w:p w14:paraId="5D7C56A0" w14:textId="77777777" w:rsidR="003B7B23" w:rsidRPr="00527608" w:rsidRDefault="003B7B23" w:rsidP="003B7B23">
      <w:pPr>
        <w:pStyle w:val="Heading2"/>
        <w:spacing w:before="60" w:after="0" w:line="288" w:lineRule="auto"/>
        <w:ind w:left="730"/>
        <w:rPr>
          <w:color w:val="000000" w:themeColor="text1"/>
          <w:szCs w:val="28"/>
        </w:rPr>
      </w:pPr>
      <w:bookmarkStart w:id="24" w:name="_Toc181953381"/>
      <w:bookmarkStart w:id="25" w:name="_Toc182148307"/>
      <w:bookmarkStart w:id="26" w:name="_Toc182148854"/>
      <w:r>
        <w:rPr>
          <w:color w:val="000000" w:themeColor="text1"/>
          <w:szCs w:val="28"/>
          <w:lang w:val="vi-VN"/>
        </w:rPr>
        <w:t>e)</w:t>
      </w:r>
      <w:r w:rsidRPr="00527608">
        <w:rPr>
          <w:color w:val="000000" w:themeColor="text1"/>
          <w:szCs w:val="28"/>
        </w:rPr>
        <w:t xml:space="preserve"> Lưu giữ hồ sơ</w:t>
      </w:r>
      <w:bookmarkEnd w:id="24"/>
      <w:bookmarkEnd w:id="25"/>
      <w:bookmarkEnd w:id="26"/>
    </w:p>
    <w:p w14:paraId="0614308A"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 xml:space="preserve">Hồ sơ lưu trữ bao gồm: Các Quyết định thành lập đoàn Hội đồng tự đánh giá, thành lập đoàn đánh giá ngoài (ĐGN), Quyết định phê duyệt kết quả tự đánh giá/ĐGN; Các Kế hoạch; Các báo cáo; Các Phiếu đánh giá tiêu chí; Báo cáo tự đánh giá, Báo cáo ĐGN; Công văn của cơ sở giáo dục về việc tiếp thu hoặc bảo lưu ý kiến của dự thảo báo cáo ĐGN (nếu có). </w:t>
      </w:r>
    </w:p>
    <w:p w14:paraId="4F96CDA3" w14:textId="77777777" w:rsidR="003B7B23" w:rsidRPr="00527608" w:rsidRDefault="003B7B23" w:rsidP="003B7B23">
      <w:pPr>
        <w:spacing w:before="60" w:after="0" w:line="288" w:lineRule="auto"/>
        <w:ind w:left="-10" w:right="5" w:firstLine="706"/>
        <w:rPr>
          <w:color w:val="000000" w:themeColor="text1"/>
          <w:szCs w:val="28"/>
        </w:rPr>
      </w:pPr>
      <w:r w:rsidRPr="00527608">
        <w:rPr>
          <w:color w:val="000000" w:themeColor="text1"/>
          <w:szCs w:val="28"/>
        </w:rPr>
        <w:t>Thời hạn bảo quản, lưu trữ và sử dụng hồ sơ theo quy định của Luật lưu trữ và theo Thông tư số 27/2016/TT-BGDĐT ngày 30 tháng 12 năm 2016 của Bộ trưởng Bộ GDĐT ban hành Quy định thời hạn bảo quản tài liệu chuyên môn nghiệp vụ của ngành giáo dục; Thông tư số 10/2022/TT- BNV ngày 19/12/2022 của Bộ Nội vụ về việc Quy định thời hạn bảo tài liệu.</w:t>
      </w:r>
    </w:p>
    <w:p w14:paraId="675BC632" w14:textId="77777777" w:rsidR="001D2BDE" w:rsidRPr="00BE02CA" w:rsidRDefault="003B7B23" w:rsidP="001D2BDE">
      <w:pPr>
        <w:spacing w:before="60" w:after="0" w:line="288" w:lineRule="auto"/>
        <w:ind w:right="5" w:firstLine="691"/>
        <w:rPr>
          <w:b/>
          <w:szCs w:val="28"/>
        </w:rPr>
      </w:pPr>
      <w:bookmarkStart w:id="27" w:name="_Toc181953339"/>
      <w:bookmarkStart w:id="28" w:name="_Toc182148276"/>
      <w:bookmarkStart w:id="29" w:name="_Toc182148824"/>
      <w:r>
        <w:rPr>
          <w:b/>
          <w:szCs w:val="28"/>
          <w:lang w:val="vi-VN"/>
        </w:rPr>
        <w:t>5</w:t>
      </w:r>
      <w:r w:rsidR="001D2BDE" w:rsidRPr="00BE02CA">
        <w:rPr>
          <w:b/>
          <w:szCs w:val="28"/>
        </w:rPr>
        <w:t>. Hướng dẫn việc cung cấp</w:t>
      </w:r>
      <w:r w:rsidR="001D2BDE">
        <w:rPr>
          <w:b/>
          <w:szCs w:val="28"/>
        </w:rPr>
        <w:t>, chia sẻ</w:t>
      </w:r>
      <w:r w:rsidR="001D2BDE" w:rsidRPr="00BE02CA">
        <w:rPr>
          <w:b/>
          <w:szCs w:val="28"/>
        </w:rPr>
        <w:t xml:space="preserve"> minh chứng</w:t>
      </w:r>
    </w:p>
    <w:p w14:paraId="46CF6027" w14:textId="77777777" w:rsidR="001D2BDE" w:rsidRDefault="001D2BDE" w:rsidP="001D2BDE">
      <w:pPr>
        <w:spacing w:line="264" w:lineRule="auto"/>
        <w:ind w:firstLine="720"/>
      </w:pPr>
      <w:r>
        <w:t xml:space="preserve">Các minh chứng cung cấp phải có tính pháp lý </w:t>
      </w:r>
      <w:r w:rsidRPr="00BE2633">
        <w:t xml:space="preserve">và </w:t>
      </w:r>
      <w:r>
        <w:t xml:space="preserve">được lưu trữ </w:t>
      </w:r>
      <w:r w:rsidRPr="00BE2633">
        <w:t>chia sẻ</w:t>
      </w:r>
      <w:r>
        <w:t xml:space="preserve"> ở chế độcông khai (quyền xem) theo các bước hướng dẫn bên dưới:</w:t>
      </w:r>
    </w:p>
    <w:p w14:paraId="1CA898E7" w14:textId="77777777" w:rsidR="001D2BDE" w:rsidRDefault="001D2BDE" w:rsidP="001D2BDE">
      <w:pPr>
        <w:spacing w:line="264" w:lineRule="auto"/>
        <w:ind w:firstLine="720"/>
      </w:pPr>
      <w:r w:rsidRPr="00BE02CA">
        <w:rPr>
          <w:b/>
        </w:rPr>
        <w:t>- Bước 1</w:t>
      </w:r>
      <w:r>
        <w:t>: Tạo không gian lưu trữ trên môi trường mạng</w:t>
      </w:r>
    </w:p>
    <w:p w14:paraId="0AFE9C81" w14:textId="77777777" w:rsidR="001D2BDE" w:rsidRDefault="001D2BDE" w:rsidP="001D2BDE">
      <w:pPr>
        <w:spacing w:line="264" w:lineRule="auto"/>
        <w:ind w:firstLine="720"/>
        <w:rPr>
          <w:b/>
        </w:rPr>
      </w:pPr>
      <w:r>
        <w:t xml:space="preserve">Đơn vị </w:t>
      </w:r>
      <w:r w:rsidRPr="009361C5">
        <w:t>sử dụng Google Drive</w:t>
      </w:r>
    </w:p>
    <w:p w14:paraId="64C6B862" w14:textId="77777777" w:rsidR="001D2BDE" w:rsidRPr="00BE02CA" w:rsidRDefault="001D2BDE" w:rsidP="001D2BDE">
      <w:pPr>
        <w:spacing w:line="264" w:lineRule="auto"/>
        <w:ind w:firstLine="720"/>
      </w:pPr>
      <w:r w:rsidRPr="00BE02CA">
        <w:rPr>
          <w:b/>
        </w:rPr>
        <w:t xml:space="preserve">+ </w:t>
      </w:r>
      <w:r w:rsidRPr="00BE02CA">
        <w:t xml:space="preserve">Tạo 01 thư mục đặt tên theo </w:t>
      </w:r>
      <w:r w:rsidRPr="00BE02CA">
        <w:rPr>
          <w:b/>
          <w:i/>
        </w:rPr>
        <w:t>Tên đơn vị</w:t>
      </w:r>
      <w:r>
        <w:t xml:space="preserve"> (Ví dụ </w:t>
      </w:r>
      <w:r>
        <w:rPr>
          <w:lang w:val="vi-VN"/>
        </w:rPr>
        <w:t>Trường tiểu học ABC</w:t>
      </w:r>
      <w:r>
        <w:t>)</w:t>
      </w:r>
    </w:p>
    <w:p w14:paraId="369C784B" w14:textId="77777777" w:rsidR="001D2BDE" w:rsidRPr="009361C5" w:rsidRDefault="001D2BDE" w:rsidP="001D2BDE">
      <w:pPr>
        <w:spacing w:line="264" w:lineRule="auto"/>
        <w:ind w:firstLine="720"/>
      </w:pPr>
      <w:r>
        <w:rPr>
          <w:b/>
        </w:rPr>
        <w:t xml:space="preserve">+ </w:t>
      </w:r>
      <w:r>
        <w:t>T</w:t>
      </w:r>
      <w:r w:rsidRPr="009361C5">
        <w:t xml:space="preserve">rong </w:t>
      </w:r>
      <w:r>
        <w:t>thư mục trên</w:t>
      </w:r>
      <w:r w:rsidRPr="00BE02CA">
        <w:rPr>
          <w:b/>
          <w:i/>
        </w:rPr>
        <w:t>tạo các thư mục con</w:t>
      </w:r>
      <w:r w:rsidRPr="009361C5">
        <w:t xml:space="preserve"> dùng để chứa các minh chứng tương ứng với các tiêu chí trong bộ chỉ số</w:t>
      </w:r>
      <w:r>
        <w:t xml:space="preserve"> đánh giá của cấp học theo quy định (</w:t>
      </w:r>
      <w:r w:rsidRPr="00BE02CA">
        <w:rPr>
          <w:i/>
        </w:rPr>
        <w:t xml:space="preserve">các trường </w:t>
      </w:r>
      <w:r>
        <w:rPr>
          <w:i/>
          <w:lang w:val="vi-VN"/>
        </w:rPr>
        <w:t>phổ thông GDTX</w:t>
      </w:r>
      <w:r w:rsidRPr="00BE02CA">
        <w:rPr>
          <w:i/>
        </w:rPr>
        <w:t xml:space="preserve"> đặt tên lần lượt là 1.1, 1.2,…, 1.</w:t>
      </w:r>
      <w:r>
        <w:rPr>
          <w:i/>
          <w:lang w:val="vi-VN"/>
        </w:rPr>
        <w:t>7, 2.1,2.2, ..., 2.4</w:t>
      </w:r>
      <w:r>
        <w:t>);</w:t>
      </w:r>
    </w:p>
    <w:p w14:paraId="2BBFB648" w14:textId="77777777" w:rsidR="001D2BDE" w:rsidRDefault="001D2BDE" w:rsidP="001D2BDE">
      <w:pPr>
        <w:spacing w:line="264" w:lineRule="auto"/>
        <w:ind w:firstLine="720"/>
      </w:pPr>
      <w:r>
        <w:t xml:space="preserve">- </w:t>
      </w:r>
      <w:r w:rsidRPr="00BE02CA">
        <w:rPr>
          <w:b/>
        </w:rPr>
        <w:t>Bước 2</w:t>
      </w:r>
      <w:r w:rsidRPr="009361C5">
        <w:t xml:space="preserve">: </w:t>
      </w:r>
      <w:r>
        <w:t xml:space="preserve">Cung cấp báo cáo tự đánh giá và dữ liệu minh chứng </w:t>
      </w:r>
    </w:p>
    <w:p w14:paraId="74C0A43F" w14:textId="77777777" w:rsidR="001D2BDE" w:rsidRDefault="001D2BDE" w:rsidP="001D2BDE">
      <w:pPr>
        <w:spacing w:line="264" w:lineRule="auto"/>
        <w:ind w:firstLine="720"/>
      </w:pPr>
      <w:r>
        <w:t xml:space="preserve">+ Tải báo cáo tự đánh giá mức độ chuyển đổi số của đơn vị vào thư mục </w:t>
      </w:r>
      <w:r w:rsidRPr="00BE02CA">
        <w:rPr>
          <w:b/>
          <w:i/>
        </w:rPr>
        <w:t>Tên đơn vị</w:t>
      </w:r>
      <w:r>
        <w:rPr>
          <w:b/>
          <w:i/>
        </w:rPr>
        <w:t>.</w:t>
      </w:r>
    </w:p>
    <w:p w14:paraId="1D69F8A7" w14:textId="77777777" w:rsidR="001D2BDE" w:rsidRPr="009361C5" w:rsidRDefault="001D2BDE" w:rsidP="001D2BDE">
      <w:pPr>
        <w:spacing w:line="264" w:lineRule="auto"/>
        <w:ind w:firstLine="720"/>
      </w:pPr>
      <w:r>
        <w:t xml:space="preserve">+ </w:t>
      </w:r>
      <w:r w:rsidRPr="009361C5">
        <w:t xml:space="preserve">Thực hiện cập nhậtcác minh chứng </w:t>
      </w:r>
      <w:r>
        <w:t>đã được số hoá theo</w:t>
      </w:r>
      <w:r w:rsidRPr="009361C5">
        <w:t xml:space="preserve"> từng tiêu chí vào thư mục tương ứng</w:t>
      </w:r>
      <w:r>
        <w:t>;</w:t>
      </w:r>
    </w:p>
    <w:p w14:paraId="0574EA93" w14:textId="77777777" w:rsidR="001D2BDE" w:rsidRPr="00BE02CA" w:rsidRDefault="001D2BDE" w:rsidP="001D2BDE">
      <w:pPr>
        <w:spacing w:line="264" w:lineRule="auto"/>
        <w:ind w:firstLine="720"/>
        <w:rPr>
          <w:b/>
        </w:rPr>
      </w:pPr>
      <w:r w:rsidRPr="00BE02CA">
        <w:rPr>
          <w:b/>
        </w:rPr>
        <w:lastRenderedPageBreak/>
        <w:t xml:space="preserve">- Bước 3: </w:t>
      </w:r>
      <w:r w:rsidRPr="00BE02CA">
        <w:t>Chia sẻ Minh chứng</w:t>
      </w:r>
    </w:p>
    <w:p w14:paraId="7157BCF3" w14:textId="77777777" w:rsidR="001D2BDE" w:rsidRDefault="001D2BDE" w:rsidP="001D2BDE">
      <w:pPr>
        <w:spacing w:line="264" w:lineRule="auto"/>
        <w:ind w:firstLine="720"/>
      </w:pPr>
      <w:r>
        <w:t xml:space="preserve">- Thực hiện chia sẻ </w:t>
      </w:r>
      <w:r w:rsidRPr="009361C5">
        <w:t>thư mục</w:t>
      </w:r>
      <w:r>
        <w:rPr>
          <w:b/>
          <w:i/>
        </w:rPr>
        <w:t>T</w:t>
      </w:r>
      <w:r w:rsidRPr="00BE02CA">
        <w:rPr>
          <w:b/>
          <w:i/>
        </w:rPr>
        <w:t>ên đơn vị</w:t>
      </w:r>
      <w:r w:rsidRPr="009361C5">
        <w:t xml:space="preserve"> trêncông khai trên môi trường mạng</w:t>
      </w:r>
      <w:r>
        <w:t xml:space="preserve">,sao chép và </w:t>
      </w:r>
      <w:r w:rsidRPr="009361C5">
        <w:t xml:space="preserve">gửi đường link chia sẻ </w:t>
      </w:r>
      <w:r>
        <w:t xml:space="preserve">ở chế độ </w:t>
      </w:r>
      <w:r w:rsidRPr="009361C5">
        <w:t>công khai cùng với báo cáo tự đánh giá cho cơ quan quản lý trực để kiểm tra, đánh giá.</w:t>
      </w:r>
    </w:p>
    <w:p w14:paraId="4DF8B548" w14:textId="77777777" w:rsidR="001D2BDE" w:rsidRDefault="001D2BDE" w:rsidP="001D2BDE">
      <w:pPr>
        <w:spacing w:line="264" w:lineRule="auto"/>
        <w:ind w:firstLine="720"/>
      </w:pPr>
      <w:r>
        <w:t xml:space="preserve">- Nộp báo cáo tự đánh giá </w:t>
      </w:r>
      <w:r w:rsidRPr="009361C5">
        <w:t>(bản PDF có chữ ký của lãnh đạo và có dấu của đơn vị)</w:t>
      </w:r>
      <w:r>
        <w:t xml:space="preserve"> kèm minh chứng về cơ quan quản lý trực tiếp </w:t>
      </w:r>
      <w:r w:rsidRPr="007B701D">
        <w:rPr>
          <w:b/>
          <w:i/>
        </w:rPr>
        <w:t xml:space="preserve">trước ngày </w:t>
      </w:r>
      <w:r>
        <w:rPr>
          <w:b/>
          <w:i/>
        </w:rPr>
        <w:t>15</w:t>
      </w:r>
      <w:r w:rsidRPr="007B701D">
        <w:rPr>
          <w:b/>
          <w:i/>
        </w:rPr>
        <w:t>/05/2025</w:t>
      </w:r>
      <w:r>
        <w:rPr>
          <w:b/>
          <w:i/>
        </w:rPr>
        <w:t>.</w:t>
      </w:r>
    </w:p>
    <w:p w14:paraId="594F6080" w14:textId="77777777" w:rsidR="001D2BDE" w:rsidRDefault="001D2BDE" w:rsidP="001D2BDE">
      <w:pPr>
        <w:spacing w:line="264" w:lineRule="auto"/>
        <w:ind w:firstLine="720"/>
      </w:pPr>
      <w:r w:rsidRPr="009361C5">
        <w:t xml:space="preserve">- Các trường tiểu học, THCS gửi về </w:t>
      </w:r>
      <w:r>
        <w:rPr>
          <w:lang w:val="vi-VN"/>
        </w:rPr>
        <w:t>Phòng Văn hóa – Xã hội của các xã/phường</w:t>
      </w:r>
      <w:r w:rsidRPr="009361C5">
        <w:t xml:space="preserve"> để tổng hợp.</w:t>
      </w:r>
    </w:p>
    <w:p w14:paraId="5535E411" w14:textId="77777777" w:rsidR="001D2BDE" w:rsidRDefault="001D2BDE" w:rsidP="001D2BDE">
      <w:pPr>
        <w:spacing w:line="264" w:lineRule="auto"/>
        <w:ind w:firstLine="720"/>
      </w:pPr>
      <w:r w:rsidRPr="009361C5">
        <w:t xml:space="preserve">- Các trường </w:t>
      </w:r>
      <w:r>
        <w:rPr>
          <w:lang w:val="vi-VN"/>
        </w:rPr>
        <w:t>THPT, GDTX</w:t>
      </w:r>
      <w:r w:rsidRPr="009361C5">
        <w:t xml:space="preserve"> gửi về </w:t>
      </w:r>
      <w:r>
        <w:rPr>
          <w:lang w:val="vi-VN"/>
        </w:rPr>
        <w:t>Sở GDĐT</w:t>
      </w:r>
      <w:r w:rsidRPr="009361C5">
        <w:t xml:space="preserve"> để tổng hợp.</w:t>
      </w:r>
    </w:p>
    <w:p w14:paraId="0F7B4AA7" w14:textId="77777777" w:rsidR="000142BE" w:rsidRPr="00527608" w:rsidRDefault="00EA6A32" w:rsidP="00D366DF">
      <w:pPr>
        <w:spacing w:before="60" w:after="0" w:line="288" w:lineRule="auto"/>
        <w:ind w:right="5"/>
        <w:rPr>
          <w:color w:val="000000" w:themeColor="text1"/>
        </w:rPr>
      </w:pPr>
      <w:bookmarkStart w:id="30" w:name="_Toc181953341"/>
      <w:bookmarkStart w:id="31" w:name="_Toc182148278"/>
      <w:bookmarkStart w:id="32" w:name="_Toc182148826"/>
      <w:bookmarkEnd w:id="27"/>
      <w:bookmarkEnd w:id="28"/>
      <w:bookmarkEnd w:id="29"/>
      <w:r w:rsidRPr="00527608">
        <w:rPr>
          <w:rStyle w:val="Heading1Char"/>
          <w:color w:val="000000" w:themeColor="text1"/>
        </w:rPr>
        <w:t>II. QUY TRÌNH TỰ ĐÁNH GIÁ</w:t>
      </w:r>
      <w:bookmarkEnd w:id="30"/>
      <w:bookmarkEnd w:id="31"/>
      <w:bookmarkEnd w:id="32"/>
      <w:r w:rsidR="003B7B23">
        <w:rPr>
          <w:b/>
          <w:szCs w:val="28"/>
          <w:lang w:val="vi-VN"/>
        </w:rPr>
        <w:t>CỦA CƠ SỞ GIÁO DỤC</w:t>
      </w:r>
    </w:p>
    <w:p w14:paraId="07EBA06B" w14:textId="77777777" w:rsidR="000142BE" w:rsidRPr="00527608" w:rsidRDefault="009C704D" w:rsidP="0073575F">
      <w:pPr>
        <w:pStyle w:val="Heading2"/>
        <w:spacing w:before="60" w:after="0" w:line="288" w:lineRule="auto"/>
        <w:ind w:left="0" w:firstLine="696"/>
        <w:rPr>
          <w:color w:val="000000" w:themeColor="text1"/>
          <w:szCs w:val="28"/>
        </w:rPr>
      </w:pPr>
      <w:bookmarkStart w:id="33" w:name="_Toc181953342"/>
      <w:bookmarkStart w:id="34" w:name="_Toc182148279"/>
      <w:bookmarkStart w:id="35" w:name="_Toc182148827"/>
      <w:r w:rsidRPr="00527608">
        <w:rPr>
          <w:color w:val="000000" w:themeColor="text1"/>
          <w:szCs w:val="28"/>
        </w:rPr>
        <w:t xml:space="preserve">1. Thành lập Hội </w:t>
      </w:r>
      <w:r w:rsidRPr="00527608">
        <w:rPr>
          <w:color w:val="000000" w:themeColor="text1"/>
        </w:rPr>
        <w:t>đồng</w:t>
      </w:r>
      <w:r w:rsidRPr="00527608">
        <w:rPr>
          <w:color w:val="000000" w:themeColor="text1"/>
          <w:szCs w:val="28"/>
        </w:rPr>
        <w:t xml:space="preserve"> tự đánh giá</w:t>
      </w:r>
      <w:bookmarkEnd w:id="33"/>
      <w:bookmarkEnd w:id="34"/>
      <w:bookmarkEnd w:id="35"/>
    </w:p>
    <w:p w14:paraId="7575E1BD" w14:textId="77777777" w:rsidR="000142BE" w:rsidRPr="00527608" w:rsidRDefault="00083044" w:rsidP="00997EF1">
      <w:pPr>
        <w:spacing w:before="60" w:after="0" w:line="288" w:lineRule="auto"/>
        <w:ind w:left="-10" w:right="5" w:firstLine="706"/>
        <w:rPr>
          <w:color w:val="000000" w:themeColor="text1"/>
          <w:szCs w:val="28"/>
        </w:rPr>
      </w:pPr>
      <w:r>
        <w:rPr>
          <w:color w:val="000000" w:themeColor="text1"/>
          <w:szCs w:val="28"/>
        </w:rPr>
        <w:t xml:space="preserve">Thủ trưởng </w:t>
      </w:r>
      <w:r w:rsidR="009C704D" w:rsidRPr="00527608">
        <w:rPr>
          <w:color w:val="000000" w:themeColor="text1"/>
          <w:szCs w:val="28"/>
        </w:rPr>
        <w:t>cơ sở giáo dục phổ thông</w:t>
      </w:r>
      <w:r>
        <w:rPr>
          <w:color w:val="000000" w:themeColor="text1"/>
          <w:szCs w:val="28"/>
        </w:rPr>
        <w:t xml:space="preserve">, giáo dục thường xuyên </w:t>
      </w:r>
      <w:r w:rsidR="009C704D" w:rsidRPr="00527608">
        <w:rPr>
          <w:color w:val="000000" w:themeColor="text1"/>
          <w:szCs w:val="28"/>
        </w:rPr>
        <w:t xml:space="preserve"> ra quyết định thành lập Hội đồng tự đánh giá (TĐG). Số lượng thành viên, thành phần tham gia Hội đồng TĐG do </w:t>
      </w:r>
      <w:r>
        <w:rPr>
          <w:color w:val="000000" w:themeColor="text1"/>
          <w:szCs w:val="28"/>
        </w:rPr>
        <w:t>Thủ trưởng</w:t>
      </w:r>
      <w:r w:rsidR="009C704D" w:rsidRPr="00527608">
        <w:rPr>
          <w:color w:val="000000" w:themeColor="text1"/>
          <w:szCs w:val="28"/>
        </w:rPr>
        <w:t xml:space="preserve"> quyết định nhằm đáp ứng yêu cầu. </w:t>
      </w:r>
    </w:p>
    <w:p w14:paraId="46620AB1" w14:textId="77777777" w:rsidR="000142BE" w:rsidRPr="00527608" w:rsidRDefault="00EA6A32" w:rsidP="0073575F">
      <w:pPr>
        <w:pStyle w:val="Heading2"/>
        <w:spacing w:before="60" w:after="0" w:line="288" w:lineRule="auto"/>
        <w:ind w:left="0" w:firstLine="696"/>
        <w:rPr>
          <w:color w:val="000000" w:themeColor="text1"/>
          <w:szCs w:val="28"/>
        </w:rPr>
      </w:pPr>
      <w:bookmarkStart w:id="36" w:name="_Toc181953343"/>
      <w:bookmarkStart w:id="37" w:name="_Toc182148280"/>
      <w:bookmarkStart w:id="38" w:name="_Toc182148828"/>
      <w:r w:rsidRPr="00527608">
        <w:rPr>
          <w:color w:val="000000" w:themeColor="text1"/>
          <w:szCs w:val="28"/>
        </w:rPr>
        <w:t xml:space="preserve">2. Lập kế </w:t>
      </w:r>
      <w:r w:rsidRPr="00527608">
        <w:rPr>
          <w:color w:val="000000" w:themeColor="text1"/>
        </w:rPr>
        <w:t>hoạch</w:t>
      </w:r>
      <w:r w:rsidRPr="00527608">
        <w:rPr>
          <w:color w:val="000000" w:themeColor="text1"/>
          <w:szCs w:val="28"/>
        </w:rPr>
        <w:t xml:space="preserve"> tự đánh giá</w:t>
      </w:r>
      <w:bookmarkEnd w:id="36"/>
      <w:bookmarkEnd w:id="37"/>
      <w:bookmarkEnd w:id="38"/>
    </w:p>
    <w:p w14:paraId="3A410C08" w14:textId="77777777" w:rsidR="000142BE" w:rsidRPr="00527608" w:rsidRDefault="00D366DF" w:rsidP="00997EF1">
      <w:pPr>
        <w:spacing w:before="60" w:after="0" w:line="288" w:lineRule="auto"/>
        <w:ind w:left="-10" w:right="5" w:firstLine="706"/>
        <w:rPr>
          <w:color w:val="000000" w:themeColor="text1"/>
          <w:szCs w:val="28"/>
        </w:rPr>
      </w:pPr>
      <w:r>
        <w:rPr>
          <w:color w:val="000000" w:themeColor="text1"/>
          <w:szCs w:val="28"/>
        </w:rPr>
        <w:t xml:space="preserve">- </w:t>
      </w:r>
      <w:r w:rsidR="009C704D" w:rsidRPr="00527608">
        <w:rPr>
          <w:color w:val="000000" w:themeColor="text1"/>
          <w:szCs w:val="28"/>
        </w:rPr>
        <w:t>Kế hoạch TĐG do Hội đồng TĐG xây dựng và có các nội dung theo quy định. Chủ tịch Hội đồng phê duyệt kế hoạch TĐG. Kế hoạch TĐG phù hợp với điều kiện thực tế của nhà trường, cần xác định rõ nhiệm vụ cụ thể của các thành viên trong Hội đồng TĐG, nhóm thư ký, các nhóm công tác và từng cá nhân. Kế hoạch TĐG cần nêu rõ nội dung từng hoạt động, thời gian thực hiện, thời gian hoàn thành</w:t>
      </w:r>
      <w:r w:rsidR="00BD15C7" w:rsidRPr="00527608">
        <w:rPr>
          <w:color w:val="000000" w:themeColor="text1"/>
          <w:szCs w:val="28"/>
        </w:rPr>
        <w:t>, tránh chung chung, hình thức.</w:t>
      </w:r>
    </w:p>
    <w:p w14:paraId="6C775FAD" w14:textId="77777777" w:rsidR="000142BE" w:rsidRPr="00527608" w:rsidRDefault="00D366DF" w:rsidP="00997EF1">
      <w:pPr>
        <w:spacing w:before="60" w:after="0" w:line="288" w:lineRule="auto"/>
        <w:ind w:left="-10" w:right="5" w:firstLine="706"/>
        <w:rPr>
          <w:color w:val="000000" w:themeColor="text1"/>
          <w:szCs w:val="28"/>
        </w:rPr>
      </w:pPr>
      <w:r>
        <w:rPr>
          <w:color w:val="000000" w:themeColor="text1"/>
          <w:szCs w:val="28"/>
        </w:rPr>
        <w:t xml:space="preserve">- </w:t>
      </w:r>
      <w:r w:rsidR="009C704D" w:rsidRPr="00527608">
        <w:rPr>
          <w:color w:val="000000" w:themeColor="text1"/>
          <w:szCs w:val="28"/>
        </w:rPr>
        <w:t>Trong quá trình thực hiện Kế hoạch TĐG, nếu phát sinh những vấn đề chưa phù hợp th</w:t>
      </w:r>
      <w:r w:rsidR="00BD15C7" w:rsidRPr="00527608">
        <w:rPr>
          <w:color w:val="000000" w:themeColor="text1"/>
          <w:szCs w:val="28"/>
        </w:rPr>
        <w:t>ì có thể điều chỉnh và bổ sung.</w:t>
      </w:r>
    </w:p>
    <w:p w14:paraId="3A9E68B5" w14:textId="77777777" w:rsidR="000142BE" w:rsidRPr="00527608" w:rsidRDefault="009C704D" w:rsidP="0073575F">
      <w:pPr>
        <w:pStyle w:val="Heading2"/>
        <w:spacing w:before="60" w:after="0" w:line="288" w:lineRule="auto"/>
        <w:ind w:left="0" w:firstLine="696"/>
        <w:rPr>
          <w:color w:val="000000" w:themeColor="text1"/>
          <w:szCs w:val="28"/>
        </w:rPr>
      </w:pPr>
      <w:bookmarkStart w:id="39" w:name="_Toc181953344"/>
      <w:bookmarkStart w:id="40" w:name="_Toc182148281"/>
      <w:bookmarkStart w:id="41" w:name="_Toc182148829"/>
      <w:r w:rsidRPr="00527608">
        <w:rPr>
          <w:color w:val="000000" w:themeColor="text1"/>
          <w:szCs w:val="28"/>
        </w:rPr>
        <w:t>3. Thu thập, xử lý và phân tích các minh chứng</w:t>
      </w:r>
      <w:bookmarkEnd w:id="39"/>
      <w:bookmarkEnd w:id="40"/>
      <w:bookmarkEnd w:id="41"/>
    </w:p>
    <w:p w14:paraId="6A23C124" w14:textId="77777777" w:rsidR="000142BE" w:rsidRPr="00527608" w:rsidRDefault="009C704D" w:rsidP="00997EF1">
      <w:pPr>
        <w:spacing w:before="60" w:after="0" w:line="288" w:lineRule="auto"/>
        <w:ind w:left="-10" w:firstLine="706"/>
        <w:rPr>
          <w:color w:val="000000" w:themeColor="text1"/>
          <w:szCs w:val="28"/>
        </w:rPr>
      </w:pPr>
      <w:r w:rsidRPr="00527608">
        <w:rPr>
          <w:color w:val="000000" w:themeColor="text1"/>
          <w:szCs w:val="28"/>
        </w:rPr>
        <w:t xml:space="preserve">Căn cứ vào từng tiêu chí, nhóm công tác và từng cá nhân được giao nhiệm vụ phụ trách tiêu chí đó tiến hành thu thập, xử lý và phân tích minh chứng để đưa ra kết luận tự đánh giá mức độ đạt của tiêu chí, nhóm tiêu chí. Báo cáo Hội đồng TĐG. </w:t>
      </w:r>
    </w:p>
    <w:p w14:paraId="78B576AA" w14:textId="77777777" w:rsidR="000142BE" w:rsidRPr="00527608" w:rsidRDefault="009C704D" w:rsidP="0073575F">
      <w:pPr>
        <w:pStyle w:val="Heading2"/>
        <w:spacing w:before="60" w:after="0" w:line="288" w:lineRule="auto"/>
        <w:ind w:left="0" w:firstLine="696"/>
        <w:rPr>
          <w:color w:val="000000" w:themeColor="text1"/>
          <w:szCs w:val="28"/>
        </w:rPr>
      </w:pPr>
      <w:bookmarkStart w:id="42" w:name="_Toc181953345"/>
      <w:bookmarkStart w:id="43" w:name="_Toc182148282"/>
      <w:bookmarkStart w:id="44" w:name="_Toc182148830"/>
      <w:r w:rsidRPr="00527608">
        <w:rPr>
          <w:color w:val="000000" w:themeColor="text1"/>
          <w:szCs w:val="28"/>
        </w:rPr>
        <w:t>4. Đánh giá các mức đạt được theo từng tiêu chí</w:t>
      </w:r>
      <w:bookmarkEnd w:id="42"/>
      <w:bookmarkEnd w:id="43"/>
      <w:bookmarkEnd w:id="44"/>
    </w:p>
    <w:p w14:paraId="649649DF" w14:textId="77777777" w:rsidR="000142BE" w:rsidRPr="00527608" w:rsidRDefault="009C704D" w:rsidP="00997EF1">
      <w:pPr>
        <w:spacing w:before="60" w:after="0" w:line="288" w:lineRule="auto"/>
        <w:ind w:left="-10" w:right="5" w:firstLine="706"/>
        <w:rPr>
          <w:color w:val="000000" w:themeColor="text1"/>
          <w:szCs w:val="28"/>
        </w:rPr>
      </w:pPr>
      <w:r w:rsidRPr="00527608">
        <w:rPr>
          <w:color w:val="000000" w:themeColor="text1"/>
          <w:szCs w:val="28"/>
        </w:rPr>
        <w:t>Việc đánh giá các mức đạt được theo từng tiêu chí thực hiện thông qua Phiếu đánh giá tiêu chí. Đối với mỗi tiêu chí, tùy theo nội hàm của tiêu chí việc “Mô tả hiện trạng” trong Phiếu đánh giá tiêu chí có thể thực hiện theo hướng dẫn (</w:t>
      </w:r>
      <w:r w:rsidRPr="00D366DF">
        <w:rPr>
          <w:i/>
          <w:color w:val="000000" w:themeColor="text1"/>
          <w:szCs w:val="28"/>
        </w:rPr>
        <w:t>tham khảo Mẫu 1 đính kèm</w:t>
      </w:r>
      <w:r w:rsidRPr="00527608">
        <w:rPr>
          <w:color w:val="000000" w:themeColor="text1"/>
          <w:szCs w:val="28"/>
        </w:rPr>
        <w:t xml:space="preserve">). </w:t>
      </w:r>
    </w:p>
    <w:p w14:paraId="749CE26D" w14:textId="77777777" w:rsidR="000142BE" w:rsidRPr="00527608" w:rsidRDefault="009C704D" w:rsidP="0073575F">
      <w:pPr>
        <w:pStyle w:val="Heading2"/>
        <w:spacing w:before="60" w:after="0" w:line="288" w:lineRule="auto"/>
        <w:ind w:left="0" w:firstLine="696"/>
        <w:rPr>
          <w:color w:val="000000" w:themeColor="text1"/>
          <w:szCs w:val="28"/>
        </w:rPr>
      </w:pPr>
      <w:bookmarkStart w:id="45" w:name="_Toc181953346"/>
      <w:bookmarkStart w:id="46" w:name="_Toc182148283"/>
      <w:bookmarkStart w:id="47" w:name="_Toc182148831"/>
      <w:r w:rsidRPr="00527608">
        <w:rPr>
          <w:color w:val="000000" w:themeColor="text1"/>
          <w:szCs w:val="28"/>
        </w:rPr>
        <w:lastRenderedPageBreak/>
        <w:t>5. Viết báo cáo tự đánh giá</w:t>
      </w:r>
      <w:bookmarkEnd w:id="45"/>
      <w:bookmarkEnd w:id="46"/>
      <w:bookmarkEnd w:id="47"/>
    </w:p>
    <w:p w14:paraId="41A75773" w14:textId="77777777" w:rsidR="000142BE" w:rsidRPr="00527608" w:rsidRDefault="00D366DF" w:rsidP="00997EF1">
      <w:pPr>
        <w:spacing w:before="60" w:after="0" w:line="288" w:lineRule="auto"/>
        <w:ind w:left="-10" w:right="5" w:firstLine="706"/>
        <w:rPr>
          <w:color w:val="000000" w:themeColor="text1"/>
          <w:szCs w:val="28"/>
        </w:rPr>
      </w:pPr>
      <w:r>
        <w:rPr>
          <w:color w:val="000000" w:themeColor="text1"/>
          <w:szCs w:val="28"/>
        </w:rPr>
        <w:t xml:space="preserve">- </w:t>
      </w:r>
      <w:r w:rsidR="009C704D" w:rsidRPr="00527608">
        <w:rPr>
          <w:color w:val="000000" w:themeColor="text1"/>
          <w:szCs w:val="28"/>
        </w:rPr>
        <w:t>Báo cáo TĐG là văn bản phản ánh thực trạng chất lượng của nhà trường, sự cam kết thực hiện các hoạt động cải tiến chất lượng của nhà trường. Kết quả TĐG được trình bày dưới dạng một bản báo cáo có cấu trúc và hình thức theo quy định của hướng dẫn này (</w:t>
      </w:r>
      <w:r w:rsidR="009C704D" w:rsidRPr="00DC6D1F">
        <w:rPr>
          <w:i/>
          <w:color w:val="000000" w:themeColor="text1"/>
          <w:szCs w:val="28"/>
        </w:rPr>
        <w:t>tham khảo Mẫu 2 đính kèm</w:t>
      </w:r>
      <w:r w:rsidR="009C704D" w:rsidRPr="00527608">
        <w:rPr>
          <w:color w:val="000000" w:themeColor="text1"/>
          <w:szCs w:val="28"/>
        </w:rPr>
        <w:t xml:space="preserve">). </w:t>
      </w:r>
    </w:p>
    <w:p w14:paraId="4BD2A753" w14:textId="77777777" w:rsidR="000142BE" w:rsidRPr="00527608" w:rsidRDefault="00D366DF" w:rsidP="00997EF1">
      <w:pPr>
        <w:spacing w:before="60" w:after="0" w:line="288" w:lineRule="auto"/>
        <w:ind w:left="-10" w:right="5" w:firstLine="706"/>
        <w:rPr>
          <w:color w:val="000000" w:themeColor="text1"/>
          <w:szCs w:val="28"/>
        </w:rPr>
      </w:pPr>
      <w:r>
        <w:rPr>
          <w:color w:val="000000" w:themeColor="text1"/>
          <w:szCs w:val="28"/>
        </w:rPr>
        <w:t xml:space="preserve">- </w:t>
      </w:r>
      <w:r w:rsidR="009C704D" w:rsidRPr="00527608">
        <w:rPr>
          <w:color w:val="000000" w:themeColor="text1"/>
          <w:szCs w:val="28"/>
        </w:rPr>
        <w:t>Báo cáo TĐG cần ngắn gọn, rõ ràng, chính xác, đủ các nội dung liên quan đến toàn bộ các tiêu chí. Báo cáo TĐG được trình bày lần lượt theo thứ tự các Nhóm tiêu chí. Đối với mỗi tiêu chí cần có đủ các mục: mô tả hiện trạng, điểm mạnh, điểm yếu, kế hoạch cải tiến chất lượng, tự đánh giá mức độ. Những nội dung trình bày trong các Phiếu đánh giá tiêu chí đã được Hội đồng TĐG chấp</w:t>
      </w:r>
      <w:r w:rsidR="00DE2FBA" w:rsidRPr="00527608">
        <w:rPr>
          <w:color w:val="000000" w:themeColor="text1"/>
          <w:szCs w:val="28"/>
        </w:rPr>
        <w:t xml:space="preserve"> thuận thì đưa vào báo cáo TĐG.</w:t>
      </w:r>
    </w:p>
    <w:p w14:paraId="6B69FF1B" w14:textId="77777777" w:rsidR="000142BE" w:rsidRPr="00527608" w:rsidRDefault="003B7B23" w:rsidP="0073575F">
      <w:pPr>
        <w:pStyle w:val="Heading2"/>
        <w:spacing w:before="60" w:after="0" w:line="288" w:lineRule="auto"/>
        <w:ind w:left="0" w:firstLine="696"/>
        <w:rPr>
          <w:color w:val="000000" w:themeColor="text1"/>
          <w:szCs w:val="28"/>
        </w:rPr>
      </w:pPr>
      <w:bookmarkStart w:id="48" w:name="_Toc181953348"/>
      <w:bookmarkStart w:id="49" w:name="_Toc182148285"/>
      <w:bookmarkStart w:id="50" w:name="_Toc182148833"/>
      <w:r>
        <w:rPr>
          <w:color w:val="000000" w:themeColor="text1"/>
          <w:szCs w:val="28"/>
          <w:lang w:val="vi-VN"/>
        </w:rPr>
        <w:t>6</w:t>
      </w:r>
      <w:r w:rsidR="009C704D" w:rsidRPr="00527608">
        <w:rPr>
          <w:color w:val="000000" w:themeColor="text1"/>
          <w:szCs w:val="28"/>
        </w:rPr>
        <w:t>. Triển khai các hoạt động sau khi hoàn thành báo cáo tự đánh giá</w:t>
      </w:r>
      <w:bookmarkEnd w:id="48"/>
      <w:bookmarkEnd w:id="49"/>
      <w:bookmarkEnd w:id="50"/>
    </w:p>
    <w:p w14:paraId="5C6C947C" w14:textId="77777777" w:rsidR="003B7B23" w:rsidRPr="0007431D" w:rsidRDefault="003B7B23" w:rsidP="003B7B23">
      <w:pPr>
        <w:spacing w:before="60" w:after="0" w:line="288" w:lineRule="auto"/>
        <w:ind w:left="-10" w:right="5" w:firstLine="706"/>
        <w:rPr>
          <w:szCs w:val="28"/>
          <w:lang w:val="vi-VN"/>
        </w:rPr>
      </w:pPr>
      <w:bookmarkStart w:id="51" w:name="_Toc181953349"/>
      <w:bookmarkStart w:id="52" w:name="_Toc182148286"/>
      <w:bookmarkStart w:id="53" w:name="_Toc182148834"/>
      <w:r w:rsidRPr="0007431D">
        <w:rPr>
          <w:szCs w:val="28"/>
          <w:lang w:val="vi-VN"/>
        </w:rPr>
        <w:t xml:space="preserve">- Thủ trưởng đơn vị phê duyệt kết quả tự đánh giá mức độ chuyển đổi số. </w:t>
      </w:r>
    </w:p>
    <w:p w14:paraId="4C89459E" w14:textId="77777777" w:rsidR="003B7B23" w:rsidRPr="0007431D" w:rsidRDefault="003B7B23" w:rsidP="003B7B23">
      <w:pPr>
        <w:spacing w:before="60" w:after="0" w:line="288" w:lineRule="auto"/>
        <w:ind w:left="-10" w:right="5" w:firstLine="706"/>
        <w:rPr>
          <w:szCs w:val="28"/>
          <w:lang w:val="vi-VN"/>
        </w:rPr>
      </w:pPr>
      <w:r w:rsidRPr="0007431D">
        <w:rPr>
          <w:szCs w:val="28"/>
          <w:lang w:val="vi-VN"/>
        </w:rPr>
        <w:t>- Gửi báo cáo TĐG mức độ chuyển đổi số cùng minh chứng, kèm theo công văn đề nghị được quan tâm, hỗ trợ trong quá trình thực hiện cải tiến, nâng cao chất lượng theo kế hoạch cải tiến chất lượng đã nêu trong báo cáo TĐG cho cơ quan quản lý trực tiếp.</w:t>
      </w:r>
    </w:p>
    <w:p w14:paraId="49409FCE" w14:textId="77777777" w:rsidR="003B7B23" w:rsidRPr="0007431D" w:rsidRDefault="003B7B23" w:rsidP="003B7B23">
      <w:pPr>
        <w:spacing w:before="60" w:after="0" w:line="288" w:lineRule="auto"/>
        <w:ind w:left="-10" w:right="5" w:firstLine="706"/>
        <w:rPr>
          <w:szCs w:val="28"/>
          <w:lang w:val="vi-VN"/>
        </w:rPr>
      </w:pPr>
      <w:r w:rsidRPr="0007431D">
        <w:rPr>
          <w:szCs w:val="28"/>
          <w:lang w:val="vi-VN"/>
        </w:rPr>
        <w:t xml:space="preserve">- Công bố kết quả tự phê duyệt và báo cáo TĐG tự đánh giá mức độ chuyển đổi số trong phạm vi nhà trường. Khuyến khích công bố các kết quả TĐG của báo cáo TĐG có ký số lên trang thông tin điện tử của nhà trường. </w:t>
      </w:r>
    </w:p>
    <w:p w14:paraId="4F3F80C5" w14:textId="77777777" w:rsidR="003B7B23" w:rsidRPr="0007431D" w:rsidRDefault="003B7B23" w:rsidP="003B7B23">
      <w:pPr>
        <w:spacing w:before="60" w:after="0" w:line="288" w:lineRule="auto"/>
        <w:ind w:left="-10" w:right="5" w:firstLine="706"/>
        <w:rPr>
          <w:szCs w:val="28"/>
          <w:lang w:val="vi-VN"/>
        </w:rPr>
      </w:pPr>
      <w:r w:rsidRPr="0007431D">
        <w:rPr>
          <w:szCs w:val="28"/>
          <w:lang w:val="vi-VN"/>
        </w:rPr>
        <w:t>- Cập nhật kết quả tự đánh giá lên hệ thống CSDL ngành Giáo dục trước ngày 31/5 hằng năm.</w:t>
      </w:r>
    </w:p>
    <w:p w14:paraId="523BE4B9" w14:textId="77777777" w:rsidR="003B7B23" w:rsidRDefault="003B7B23" w:rsidP="003B7B23">
      <w:pPr>
        <w:spacing w:before="60" w:after="0" w:line="288" w:lineRule="auto"/>
        <w:ind w:right="5" w:firstLine="681"/>
        <w:rPr>
          <w:szCs w:val="28"/>
          <w:lang w:val="vi-VN"/>
        </w:rPr>
      </w:pPr>
      <w:r w:rsidRPr="0007431D">
        <w:rPr>
          <w:szCs w:val="28"/>
          <w:lang w:val="vi-VN"/>
        </w:rPr>
        <w:t>- Thực hiện kế hoạch cải tiến chỉ số được đề ra trong báo cáo TĐG để cải tiến, nâng cao chất lượng Bộ chỉ số tự đánh giá của nhà trường;</w:t>
      </w:r>
    </w:p>
    <w:p w14:paraId="5EC28145" w14:textId="77777777" w:rsidR="003B7B23" w:rsidRDefault="003B7B23" w:rsidP="003B7B23">
      <w:pPr>
        <w:spacing w:before="60" w:after="0" w:line="288" w:lineRule="auto"/>
        <w:ind w:right="5" w:firstLine="681"/>
        <w:rPr>
          <w:szCs w:val="28"/>
          <w:lang w:val="vi-VN"/>
        </w:rPr>
      </w:pPr>
      <w:r w:rsidRPr="0007431D">
        <w:rPr>
          <w:szCs w:val="28"/>
          <w:lang w:val="vi-VN"/>
        </w:rPr>
        <w:t xml:space="preserve">- Mỗi năm học, cơ sở giáo dục thực hiện TĐG mức độ chuyển đổi số một lần, hồ sơ lưu trữ tại nhà trường. </w:t>
      </w:r>
    </w:p>
    <w:p w14:paraId="66E61BC4" w14:textId="77777777" w:rsidR="003B7B23" w:rsidRPr="002B165A" w:rsidRDefault="003B7B23" w:rsidP="003B7B23">
      <w:pPr>
        <w:pStyle w:val="Heading2"/>
        <w:spacing w:before="60" w:after="0" w:line="288" w:lineRule="auto"/>
        <w:ind w:left="10"/>
        <w:jc w:val="both"/>
        <w:rPr>
          <w:color w:val="auto"/>
          <w:szCs w:val="28"/>
          <w:lang w:val="vi-VN"/>
        </w:rPr>
      </w:pPr>
      <w:r w:rsidRPr="002B165A">
        <w:rPr>
          <w:color w:val="auto"/>
          <w:szCs w:val="28"/>
          <w:lang w:val="vi-VN"/>
        </w:rPr>
        <w:t xml:space="preserve">III. QUY TRÌNH ĐÁNH GIÁ NGOÀI </w:t>
      </w:r>
    </w:p>
    <w:p w14:paraId="24C41708" w14:textId="77777777" w:rsidR="00622B97" w:rsidRPr="002B165A" w:rsidRDefault="00622B97" w:rsidP="00622B97">
      <w:pPr>
        <w:spacing w:before="60" w:after="0" w:line="288" w:lineRule="auto"/>
        <w:ind w:right="5" w:firstLine="681"/>
        <w:rPr>
          <w:color w:val="auto"/>
          <w:szCs w:val="28"/>
          <w:lang w:val="vi-VN"/>
        </w:rPr>
      </w:pPr>
      <w:r w:rsidRPr="002B165A">
        <w:rPr>
          <w:color w:val="auto"/>
          <w:szCs w:val="28"/>
          <w:lang w:val="vi-VN"/>
        </w:rPr>
        <w:t xml:space="preserve">1. Hàng năm, cơ sở giáo dục báo cáo kết quả tự đánh giá và cung cấp thông tin, hồ sơ, minh chứng phục vụ việc đánh giá mức độ chuyển đổi số về cơ quan quản lý trực tiếp. Khuyến khích gửi hồ sơ, minh chứng phục vụ việc đánh giá mức độ chuyển đổi số trên môi trường mạng (hồ sơ điện tử, hồ sơ lưu trữ trên nền tảng lưu trữ trực tuyến/phần mềm mà đơn vị sử dụng,…). </w:t>
      </w:r>
    </w:p>
    <w:p w14:paraId="11B445CE" w14:textId="77777777" w:rsidR="00622B97" w:rsidRPr="002B165A" w:rsidRDefault="00622B97" w:rsidP="00622B97">
      <w:pPr>
        <w:spacing w:before="60" w:after="0" w:line="288" w:lineRule="auto"/>
        <w:ind w:right="5" w:firstLine="681"/>
        <w:rPr>
          <w:color w:val="auto"/>
          <w:szCs w:val="28"/>
          <w:lang w:val="vi-VN"/>
        </w:rPr>
      </w:pPr>
      <w:r w:rsidRPr="002B165A">
        <w:rPr>
          <w:color w:val="auto"/>
          <w:szCs w:val="28"/>
          <w:lang w:val="vi-VN"/>
        </w:rPr>
        <w:t xml:space="preserve">2. UBND xã/phường tổ chức triển khai đánh giá mức độ chuyển đổi số và ban hành Quyết định công nhận mức độ chuyển đổi số của các cơ sở giáo dục trực thuộc trên địa bàn quản lý. Có thể kết hợp với các nhiệm vụ kiểm tra nhiệm vụ năm học về ứng dụng công nghệ thông tin, chuyển đổi số và thống kê giáo </w:t>
      </w:r>
      <w:r w:rsidRPr="002B165A">
        <w:rPr>
          <w:color w:val="auto"/>
          <w:szCs w:val="28"/>
          <w:lang w:val="vi-VN"/>
        </w:rPr>
        <w:lastRenderedPageBreak/>
        <w:t xml:space="preserve">dục. </w:t>
      </w:r>
      <w:r w:rsidRPr="002B165A">
        <w:rPr>
          <w:color w:val="auto"/>
          <w:lang w:val="vi-VN"/>
        </w:rPr>
        <w:t>Báo cáo kết quả đánh giá về Sở GDĐT</w:t>
      </w:r>
      <w:r w:rsidRPr="002B165A">
        <w:rPr>
          <w:color w:val="auto"/>
          <w:szCs w:val="28"/>
          <w:lang w:val="vi-VN"/>
        </w:rPr>
        <w:t xml:space="preserve">, cập nhật kết quả đánh giá trên hệ thống cơ sở dữ liệu ngành Giáo dục trước ngày 20/6 hằng năm; công bố kết quả đánh giá mức độ chuyển đổi số của cơ sở giáo dục trên Cổng thông tin điện tử của xã/phường. </w:t>
      </w:r>
    </w:p>
    <w:p w14:paraId="4BE6B6A5" w14:textId="77777777" w:rsidR="00622B97" w:rsidRDefault="00622B97" w:rsidP="00622B97">
      <w:pPr>
        <w:spacing w:before="60" w:after="0" w:line="288" w:lineRule="auto"/>
        <w:ind w:right="5" w:firstLine="681"/>
        <w:rPr>
          <w:b/>
          <w:szCs w:val="28"/>
          <w:lang w:val="vi-VN"/>
        </w:rPr>
      </w:pPr>
      <w:r w:rsidRPr="002B165A">
        <w:rPr>
          <w:color w:val="auto"/>
          <w:szCs w:val="28"/>
          <w:lang w:val="vi-VN"/>
        </w:rPr>
        <w:t xml:space="preserve">3. Sở Giáo dục và Đào tạo căn cứ vào điều kiện thực tế, tổ chức kiểm tra giám sát </w:t>
      </w:r>
      <w:r w:rsidRPr="002B165A">
        <w:rPr>
          <w:color w:val="auto"/>
          <w:lang w:val="vi-VN"/>
        </w:rPr>
        <w:t>kết quả tự đánh gi</w:t>
      </w:r>
      <w:r>
        <w:rPr>
          <w:color w:val="auto"/>
          <w:lang w:val="vi-VN"/>
        </w:rPr>
        <w:t>á của các cơ sở giáo dục</w:t>
      </w:r>
      <w:r w:rsidRPr="002B165A">
        <w:rPr>
          <w:color w:val="auto"/>
          <w:lang w:val="vi-VN"/>
        </w:rPr>
        <w:t>, kết quả đánh giá của xã/phường</w:t>
      </w:r>
      <w:r w:rsidRPr="002B165A">
        <w:rPr>
          <w:color w:val="auto"/>
          <w:szCs w:val="28"/>
          <w:lang w:val="vi-VN"/>
        </w:rPr>
        <w:t>.</w:t>
      </w:r>
    </w:p>
    <w:bookmarkEnd w:id="51"/>
    <w:bookmarkEnd w:id="52"/>
    <w:bookmarkEnd w:id="53"/>
    <w:p w14:paraId="6CF9A45E" w14:textId="77777777" w:rsidR="00CE4456" w:rsidRDefault="00CE4456" w:rsidP="00CE4456">
      <w:pPr>
        <w:spacing w:before="60" w:after="0" w:line="288" w:lineRule="auto"/>
        <w:rPr>
          <w:color w:val="000000" w:themeColor="text1"/>
        </w:rPr>
      </w:pPr>
    </w:p>
    <w:p w14:paraId="40238E7A" w14:textId="77777777" w:rsidR="00CE4456" w:rsidRDefault="00CE4456" w:rsidP="00CE4456">
      <w:pPr>
        <w:spacing w:after="160" w:line="259" w:lineRule="auto"/>
        <w:ind w:left="0" w:firstLine="0"/>
        <w:jc w:val="left"/>
        <w:rPr>
          <w:color w:val="000000" w:themeColor="text1"/>
        </w:rPr>
      </w:pPr>
    </w:p>
    <w:sectPr w:rsidR="00CE4456" w:rsidSect="0052381A">
      <w:headerReference w:type="even" r:id="rId8"/>
      <w:headerReference w:type="default" r:id="rId9"/>
      <w:headerReference w:type="first" r:id="rId10"/>
      <w:pgSz w:w="11909" w:h="16838"/>
      <w:pgMar w:top="1134" w:right="1128" w:bottom="851" w:left="1695"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43B3" w14:textId="77777777" w:rsidR="004F0EE4" w:rsidRDefault="004F0EE4">
      <w:pPr>
        <w:spacing w:after="0" w:line="240" w:lineRule="auto"/>
      </w:pPr>
      <w:r>
        <w:separator/>
      </w:r>
    </w:p>
  </w:endnote>
  <w:endnote w:type="continuationSeparator" w:id="0">
    <w:p w14:paraId="5FB451A5" w14:textId="77777777" w:rsidR="004F0EE4" w:rsidRDefault="004F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882D" w14:textId="77777777" w:rsidR="004F0EE4" w:rsidRDefault="004F0EE4">
      <w:pPr>
        <w:spacing w:after="0" w:line="267" w:lineRule="auto"/>
        <w:ind w:left="0" w:hanging="7"/>
      </w:pPr>
      <w:r>
        <w:separator/>
      </w:r>
    </w:p>
  </w:footnote>
  <w:footnote w:type="continuationSeparator" w:id="0">
    <w:p w14:paraId="4D9F47B2" w14:textId="77777777" w:rsidR="004F0EE4" w:rsidRDefault="004F0EE4">
      <w:pPr>
        <w:spacing w:after="0" w:line="267" w:lineRule="auto"/>
        <w:ind w:left="0" w:hanging="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7FD0" w14:textId="77777777" w:rsidR="003B7B23" w:rsidRDefault="003B7B23">
    <w:pPr>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6AB8" w14:textId="77777777" w:rsidR="003B7B23" w:rsidRDefault="00120BBC">
    <w:pPr>
      <w:spacing w:after="31" w:line="259" w:lineRule="auto"/>
      <w:ind w:left="0" w:right="4" w:firstLine="0"/>
      <w:jc w:val="center"/>
    </w:pPr>
    <w:r>
      <w:fldChar w:fldCharType="begin"/>
    </w:r>
    <w:r w:rsidR="003B7B23">
      <w:instrText xml:space="preserve"> PAGE   \* MERGEFORMAT </w:instrText>
    </w:r>
    <w:r>
      <w:fldChar w:fldCharType="separate"/>
    </w:r>
    <w:r w:rsidR="00CD48E5">
      <w:rPr>
        <w:noProof/>
      </w:rPr>
      <w:t>7</w:t>
    </w:r>
    <w:r>
      <w:fldChar w:fldCharType="end"/>
    </w:r>
  </w:p>
  <w:p w14:paraId="1FD1C52D" w14:textId="77777777" w:rsidR="003B7B23" w:rsidRDefault="003B7B23">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FFDA" w14:textId="77777777" w:rsidR="003B7B23" w:rsidRDefault="003B7B23">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CD3"/>
    <w:multiLevelType w:val="hybridMultilevel"/>
    <w:tmpl w:val="4AFE671A"/>
    <w:lvl w:ilvl="0" w:tplc="BCAC8C00">
      <w:start w:val="1"/>
      <w:numFmt w:val="lowerLetter"/>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26222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854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0C43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5A8F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2EAB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08DB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20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04B5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9C116A"/>
    <w:multiLevelType w:val="hybridMultilevel"/>
    <w:tmpl w:val="63EE20A4"/>
    <w:lvl w:ilvl="0" w:tplc="A5427E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8A9E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20152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3EA5F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3A614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4CB5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76C4F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47C7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28E5C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7F26C1"/>
    <w:multiLevelType w:val="hybridMultilevel"/>
    <w:tmpl w:val="D6307BCC"/>
    <w:lvl w:ilvl="0" w:tplc="B8C6F2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C2244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0C2ABC">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8DBB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6105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4016B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4CE2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2FE56">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42E5FE">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2496A55"/>
    <w:multiLevelType w:val="hybridMultilevel"/>
    <w:tmpl w:val="24FC621E"/>
    <w:lvl w:ilvl="0" w:tplc="934C696E">
      <w:start w:val="1"/>
      <w:numFmt w:val="decimal"/>
      <w:lvlText w:val="(%1)"/>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4344E">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EC830">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40D97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C56B8">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A654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064F2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FAB4D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EA8E2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C309E2"/>
    <w:multiLevelType w:val="hybridMultilevel"/>
    <w:tmpl w:val="9EC0D134"/>
    <w:lvl w:ilvl="0" w:tplc="2CDE90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0096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CE53E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C05DC0">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CF7E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FE089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4729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A7A9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7E9282">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D34573"/>
    <w:multiLevelType w:val="hybridMultilevel"/>
    <w:tmpl w:val="193EB256"/>
    <w:lvl w:ilvl="0" w:tplc="31F86DC0">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C0892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1C065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9472D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A0012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F4AF0C">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D2C88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0DAD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2315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9B7226"/>
    <w:multiLevelType w:val="multilevel"/>
    <w:tmpl w:val="EC5E6DC4"/>
    <w:lvl w:ilvl="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C5E268C"/>
    <w:multiLevelType w:val="hybridMultilevel"/>
    <w:tmpl w:val="FF1EE89E"/>
    <w:lvl w:ilvl="0" w:tplc="BC76B3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A6A52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0354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BA4F6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42CC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E2B4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C6086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C986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44CEE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D8C6AC1"/>
    <w:multiLevelType w:val="hybridMultilevel"/>
    <w:tmpl w:val="532AE2A2"/>
    <w:lvl w:ilvl="0" w:tplc="01BA86C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6050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36CD5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AA45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E42F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9096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9E73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5639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04C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3F7175B"/>
    <w:multiLevelType w:val="hybridMultilevel"/>
    <w:tmpl w:val="4642D768"/>
    <w:lvl w:ilvl="0" w:tplc="2BF4735E">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3E63C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E854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88934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0C53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AEE8B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4CFDD4">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2E8D3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80AD4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7248BD"/>
    <w:multiLevelType w:val="hybridMultilevel"/>
    <w:tmpl w:val="60840D56"/>
    <w:lvl w:ilvl="0" w:tplc="107CD402">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CA3B14">
      <w:start w:val="1"/>
      <w:numFmt w:val="lowerLetter"/>
      <w:lvlText w:val="%2"/>
      <w:lvlJc w:val="left"/>
      <w:pPr>
        <w:ind w:left="1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C849D96">
      <w:start w:val="1"/>
      <w:numFmt w:val="lowerRoman"/>
      <w:lvlText w:val="%3"/>
      <w:lvlJc w:val="left"/>
      <w:pPr>
        <w:ind w:left="2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984A42">
      <w:start w:val="1"/>
      <w:numFmt w:val="decimal"/>
      <w:lvlText w:val="%4"/>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FAF688">
      <w:start w:val="1"/>
      <w:numFmt w:val="lowerLetter"/>
      <w:lvlText w:val="%5"/>
      <w:lvlJc w:val="left"/>
      <w:pPr>
        <w:ind w:left="3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3A290C">
      <w:start w:val="1"/>
      <w:numFmt w:val="lowerRoman"/>
      <w:lvlText w:val="%6"/>
      <w:lvlJc w:val="left"/>
      <w:pPr>
        <w:ind w:left="4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AA8AFA">
      <w:start w:val="1"/>
      <w:numFmt w:val="decimal"/>
      <w:lvlText w:val="%7"/>
      <w:lvlJc w:val="left"/>
      <w:pPr>
        <w:ind w:left="53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0E929C">
      <w:start w:val="1"/>
      <w:numFmt w:val="lowerLetter"/>
      <w:lvlText w:val="%8"/>
      <w:lvlJc w:val="left"/>
      <w:pPr>
        <w:ind w:left="6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26B71A">
      <w:start w:val="1"/>
      <w:numFmt w:val="lowerRoman"/>
      <w:lvlText w:val="%9"/>
      <w:lvlJc w:val="left"/>
      <w:pPr>
        <w:ind w:left="6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A927FA9"/>
    <w:multiLevelType w:val="hybridMultilevel"/>
    <w:tmpl w:val="AF1C55EA"/>
    <w:lvl w:ilvl="0" w:tplc="8AAC89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64EA5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7447C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4A554">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CF3DC">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AE940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E04A8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8474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42E9C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C077702"/>
    <w:multiLevelType w:val="hybridMultilevel"/>
    <w:tmpl w:val="C58C2A4C"/>
    <w:lvl w:ilvl="0" w:tplc="FB2A0F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A60B50">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4C470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14EBF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34C34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ED38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A8CB6">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62196">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874C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92C43CE"/>
    <w:multiLevelType w:val="hybridMultilevel"/>
    <w:tmpl w:val="F6DE58F2"/>
    <w:lvl w:ilvl="0" w:tplc="9D346C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84F1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42F250">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4E9F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E46E28">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DCEAB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4A900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E670C0">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4CF7A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366C65"/>
    <w:multiLevelType w:val="hybridMultilevel"/>
    <w:tmpl w:val="57B89D8C"/>
    <w:lvl w:ilvl="0" w:tplc="6D8618AC">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2CBA6">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C63AB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B8492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2C120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8EE5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044C3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54926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9C130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38F3214"/>
    <w:multiLevelType w:val="hybridMultilevel"/>
    <w:tmpl w:val="D1404238"/>
    <w:lvl w:ilvl="0" w:tplc="DBC82536">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430BC">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A5C0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410B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7AD69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349FC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4D7E4">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4B4B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DE9A">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8234CD1"/>
    <w:multiLevelType w:val="hybridMultilevel"/>
    <w:tmpl w:val="4F04A6BC"/>
    <w:lvl w:ilvl="0" w:tplc="ED58FE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EE072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DC268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D066B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10173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0E8C4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385BB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AD86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94952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EE461CB"/>
    <w:multiLevelType w:val="hybridMultilevel"/>
    <w:tmpl w:val="FA4494D2"/>
    <w:lvl w:ilvl="0" w:tplc="BFC43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848F76">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B2489C">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8CC1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0E8BC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C2017A">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8316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6289D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E1FA4">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F705E85"/>
    <w:multiLevelType w:val="hybridMultilevel"/>
    <w:tmpl w:val="A8B242EA"/>
    <w:lvl w:ilvl="0" w:tplc="7BE43DDC">
      <w:start w:val="1"/>
      <w:numFmt w:val="bullet"/>
      <w:lvlText w:val="-"/>
      <w:lvlJc w:val="left"/>
      <w:pPr>
        <w:ind w:left="1056" w:hanging="360"/>
      </w:pPr>
      <w:rPr>
        <w:rFonts w:ascii="Times New Roman" w:eastAsia="Times New Roman" w:hAnsi="Times New Roman" w:cs="Times New Roman"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15:restartNumberingAfterBreak="0">
    <w:nsid w:val="421011DB"/>
    <w:multiLevelType w:val="hybridMultilevel"/>
    <w:tmpl w:val="5B1834B0"/>
    <w:lvl w:ilvl="0" w:tplc="C146209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E22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A8C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A276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EBB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8C35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C2D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20B3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AE1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B9442C8"/>
    <w:multiLevelType w:val="hybridMultilevel"/>
    <w:tmpl w:val="4F62D5A4"/>
    <w:lvl w:ilvl="0" w:tplc="B478CF34">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2CCF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294F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3A669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2B70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3469F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087A6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94F3C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2282C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E141BA5"/>
    <w:multiLevelType w:val="hybridMultilevel"/>
    <w:tmpl w:val="8C08B58C"/>
    <w:lvl w:ilvl="0" w:tplc="37ECD7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7E4D2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328A2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1085D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92DA9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90DCA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E873E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A21EE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10FD6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2E84535"/>
    <w:multiLevelType w:val="hybridMultilevel"/>
    <w:tmpl w:val="6FC085B0"/>
    <w:lvl w:ilvl="0" w:tplc="23327E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ECD0B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43C3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0D2EC">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1295C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54A18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149C9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4167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B882A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2F30A7B"/>
    <w:multiLevelType w:val="hybridMultilevel"/>
    <w:tmpl w:val="9E546DD2"/>
    <w:lvl w:ilvl="0" w:tplc="779AE0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0520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C0A7A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E5198">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A679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4F3A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48909A">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529CA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86FF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6F6703F"/>
    <w:multiLevelType w:val="hybridMultilevel"/>
    <w:tmpl w:val="DC123C24"/>
    <w:lvl w:ilvl="0" w:tplc="BF022AFA">
      <w:start w:val="1"/>
      <w:numFmt w:val="bullet"/>
      <w:lvlText w:val="-"/>
      <w:lvlJc w:val="left"/>
      <w:pPr>
        <w:ind w:left="215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884812C">
      <w:start w:val="1"/>
      <w:numFmt w:val="bullet"/>
      <w:lvlText w:val="o"/>
      <w:lvlJc w:val="left"/>
      <w:pPr>
        <w:ind w:left="33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05E22">
      <w:start w:val="1"/>
      <w:numFmt w:val="bullet"/>
      <w:lvlText w:val="▪"/>
      <w:lvlJc w:val="left"/>
      <w:pPr>
        <w:ind w:left="41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49AF396">
      <w:start w:val="1"/>
      <w:numFmt w:val="bullet"/>
      <w:lvlText w:val="•"/>
      <w:lvlJc w:val="left"/>
      <w:pPr>
        <w:ind w:left="48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96C6D50">
      <w:start w:val="1"/>
      <w:numFmt w:val="bullet"/>
      <w:lvlText w:val="o"/>
      <w:lvlJc w:val="left"/>
      <w:pPr>
        <w:ind w:left="55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CFC0F26">
      <w:start w:val="1"/>
      <w:numFmt w:val="bullet"/>
      <w:lvlText w:val="▪"/>
      <w:lvlJc w:val="left"/>
      <w:pPr>
        <w:ind w:left="62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67EF638">
      <w:start w:val="1"/>
      <w:numFmt w:val="bullet"/>
      <w:lvlText w:val="•"/>
      <w:lvlJc w:val="left"/>
      <w:pPr>
        <w:ind w:left="69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AA81CAC">
      <w:start w:val="1"/>
      <w:numFmt w:val="bullet"/>
      <w:lvlText w:val="o"/>
      <w:lvlJc w:val="left"/>
      <w:pPr>
        <w:ind w:left="77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4F8693A">
      <w:start w:val="1"/>
      <w:numFmt w:val="bullet"/>
      <w:lvlText w:val="▪"/>
      <w:lvlJc w:val="left"/>
      <w:pPr>
        <w:ind w:left="84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5" w15:restartNumberingAfterBreak="0">
    <w:nsid w:val="65861EBB"/>
    <w:multiLevelType w:val="hybridMultilevel"/>
    <w:tmpl w:val="2990DEEE"/>
    <w:lvl w:ilvl="0" w:tplc="D94A9E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62383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D0BA7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FC1DF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059A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C8F07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40F37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C2FA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8EBC2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D1B7EC9"/>
    <w:multiLevelType w:val="hybridMultilevel"/>
    <w:tmpl w:val="5074FE5A"/>
    <w:lvl w:ilvl="0" w:tplc="8DF0CC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12A4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74B1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E428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C3E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A0AA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9C85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7061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D461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495D9D"/>
    <w:multiLevelType w:val="hybridMultilevel"/>
    <w:tmpl w:val="36ACD4F2"/>
    <w:lvl w:ilvl="0" w:tplc="E230E5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2410BC">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CA47C">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620D4E">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4E657E">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D88220">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600312">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46A2F2">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CFEC2">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FA70665"/>
    <w:multiLevelType w:val="hybridMultilevel"/>
    <w:tmpl w:val="02E43F8E"/>
    <w:lvl w:ilvl="0" w:tplc="933CF1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50F29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68277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E29D8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4A8E4">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87EC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81EB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A243B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78E74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370910084">
    <w:abstractNumId w:val="24"/>
  </w:num>
  <w:num w:numId="2" w16cid:durableId="91825028">
    <w:abstractNumId w:val="11"/>
  </w:num>
  <w:num w:numId="3" w16cid:durableId="97259317">
    <w:abstractNumId w:val="5"/>
  </w:num>
  <w:num w:numId="4" w16cid:durableId="292905150">
    <w:abstractNumId w:val="13"/>
  </w:num>
  <w:num w:numId="5" w16cid:durableId="1968923554">
    <w:abstractNumId w:val="10"/>
  </w:num>
  <w:num w:numId="6" w16cid:durableId="204560216">
    <w:abstractNumId w:val="0"/>
  </w:num>
  <w:num w:numId="7" w16cid:durableId="1771194461">
    <w:abstractNumId w:val="4"/>
  </w:num>
  <w:num w:numId="8" w16cid:durableId="761030002">
    <w:abstractNumId w:val="9"/>
  </w:num>
  <w:num w:numId="9" w16cid:durableId="38167730">
    <w:abstractNumId w:val="7"/>
  </w:num>
  <w:num w:numId="10" w16cid:durableId="1984773539">
    <w:abstractNumId w:val="3"/>
  </w:num>
  <w:num w:numId="11" w16cid:durableId="1628781789">
    <w:abstractNumId w:val="1"/>
  </w:num>
  <w:num w:numId="12" w16cid:durableId="2090034116">
    <w:abstractNumId w:val="20"/>
  </w:num>
  <w:num w:numId="13" w16cid:durableId="310258164">
    <w:abstractNumId w:val="27"/>
  </w:num>
  <w:num w:numId="14" w16cid:durableId="1702436872">
    <w:abstractNumId w:val="2"/>
  </w:num>
  <w:num w:numId="15" w16cid:durableId="2032760526">
    <w:abstractNumId w:val="28"/>
  </w:num>
  <w:num w:numId="16" w16cid:durableId="1701777011">
    <w:abstractNumId w:val="23"/>
  </w:num>
  <w:num w:numId="17" w16cid:durableId="1969847182">
    <w:abstractNumId w:val="25"/>
  </w:num>
  <w:num w:numId="18" w16cid:durableId="1511405201">
    <w:abstractNumId w:val="22"/>
  </w:num>
  <w:num w:numId="19" w16cid:durableId="10450399">
    <w:abstractNumId w:val="15"/>
  </w:num>
  <w:num w:numId="20" w16cid:durableId="210113829">
    <w:abstractNumId w:val="17"/>
  </w:num>
  <w:num w:numId="21" w16cid:durableId="564073352">
    <w:abstractNumId w:val="12"/>
  </w:num>
  <w:num w:numId="22" w16cid:durableId="1207521497">
    <w:abstractNumId w:val="16"/>
  </w:num>
  <w:num w:numId="23" w16cid:durableId="1521504056">
    <w:abstractNumId w:val="14"/>
  </w:num>
  <w:num w:numId="24" w16cid:durableId="1185367282">
    <w:abstractNumId w:val="21"/>
  </w:num>
  <w:num w:numId="25" w16cid:durableId="1876113221">
    <w:abstractNumId w:val="6"/>
  </w:num>
  <w:num w:numId="26" w16cid:durableId="1671980881">
    <w:abstractNumId w:val="19"/>
  </w:num>
  <w:num w:numId="27" w16cid:durableId="1906260204">
    <w:abstractNumId w:val="8"/>
  </w:num>
  <w:num w:numId="28" w16cid:durableId="1907687642">
    <w:abstractNumId w:val="26"/>
  </w:num>
  <w:num w:numId="29" w16cid:durableId="122768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3"/>
  </w:hdrShapeDefaults>
  <w:footnotePr>
    <w:footnote w:id="-1"/>
    <w:footnote w:id="0"/>
  </w:footnotePr>
  <w:endnotePr>
    <w:pos w:val="sectEnd"/>
    <w:endnote w:id="-1"/>
    <w:endnote w:id="0"/>
  </w:endnotePr>
  <w:compat>
    <w:useFELayout/>
    <w:compatSetting w:name="compatibilityMode" w:uri="http://schemas.microsoft.com/office/word" w:val="12"/>
    <w:compatSetting w:name="useWord2013TrackBottomHyphenation" w:uri="http://schemas.microsoft.com/office/word" w:val="1"/>
  </w:compat>
  <w:rsids>
    <w:rsidRoot w:val="000142BE"/>
    <w:rsid w:val="000142BE"/>
    <w:rsid w:val="00024D10"/>
    <w:rsid w:val="0005010D"/>
    <w:rsid w:val="00054416"/>
    <w:rsid w:val="00064AE1"/>
    <w:rsid w:val="00083044"/>
    <w:rsid w:val="00086C2E"/>
    <w:rsid w:val="000A0E92"/>
    <w:rsid w:val="000B3354"/>
    <w:rsid w:val="000C067E"/>
    <w:rsid w:val="000E4E1E"/>
    <w:rsid w:val="00104573"/>
    <w:rsid w:val="00114AF9"/>
    <w:rsid w:val="0011578C"/>
    <w:rsid w:val="00120BBC"/>
    <w:rsid w:val="0012651F"/>
    <w:rsid w:val="00134A00"/>
    <w:rsid w:val="00146096"/>
    <w:rsid w:val="00181AD1"/>
    <w:rsid w:val="001A40C1"/>
    <w:rsid w:val="001A52CF"/>
    <w:rsid w:val="001B2200"/>
    <w:rsid w:val="001B362B"/>
    <w:rsid w:val="001D2BDE"/>
    <w:rsid w:val="00221672"/>
    <w:rsid w:val="002578F9"/>
    <w:rsid w:val="002606C6"/>
    <w:rsid w:val="00271E45"/>
    <w:rsid w:val="00272E74"/>
    <w:rsid w:val="00280676"/>
    <w:rsid w:val="00293E45"/>
    <w:rsid w:val="002A7403"/>
    <w:rsid w:val="002C6563"/>
    <w:rsid w:val="002E42F4"/>
    <w:rsid w:val="002F6409"/>
    <w:rsid w:val="00372A36"/>
    <w:rsid w:val="00374489"/>
    <w:rsid w:val="0038378A"/>
    <w:rsid w:val="003B3B33"/>
    <w:rsid w:val="003B7B23"/>
    <w:rsid w:val="003D02B4"/>
    <w:rsid w:val="003D0D3F"/>
    <w:rsid w:val="003D417E"/>
    <w:rsid w:val="00424A0D"/>
    <w:rsid w:val="00447E37"/>
    <w:rsid w:val="00453C4D"/>
    <w:rsid w:val="00475207"/>
    <w:rsid w:val="00495536"/>
    <w:rsid w:val="004E2151"/>
    <w:rsid w:val="004E37DE"/>
    <w:rsid w:val="004E58AE"/>
    <w:rsid w:val="004F0EE4"/>
    <w:rsid w:val="0051180E"/>
    <w:rsid w:val="0051246D"/>
    <w:rsid w:val="005168E6"/>
    <w:rsid w:val="0052381A"/>
    <w:rsid w:val="005259D2"/>
    <w:rsid w:val="00527608"/>
    <w:rsid w:val="00547912"/>
    <w:rsid w:val="005C3A31"/>
    <w:rsid w:val="005D606C"/>
    <w:rsid w:val="005E013F"/>
    <w:rsid w:val="005E58F3"/>
    <w:rsid w:val="005F24C4"/>
    <w:rsid w:val="00603465"/>
    <w:rsid w:val="00610DED"/>
    <w:rsid w:val="00612A26"/>
    <w:rsid w:val="00622B97"/>
    <w:rsid w:val="006264CC"/>
    <w:rsid w:val="006972C3"/>
    <w:rsid w:val="006C41C4"/>
    <w:rsid w:val="006D0165"/>
    <w:rsid w:val="006D4B38"/>
    <w:rsid w:val="006E06C8"/>
    <w:rsid w:val="006F4925"/>
    <w:rsid w:val="007071C9"/>
    <w:rsid w:val="00712F7D"/>
    <w:rsid w:val="007210AE"/>
    <w:rsid w:val="0073575F"/>
    <w:rsid w:val="00750289"/>
    <w:rsid w:val="00772309"/>
    <w:rsid w:val="00773DCD"/>
    <w:rsid w:val="007765A7"/>
    <w:rsid w:val="00781C4F"/>
    <w:rsid w:val="007967A0"/>
    <w:rsid w:val="007A644F"/>
    <w:rsid w:val="007C735A"/>
    <w:rsid w:val="007E01EA"/>
    <w:rsid w:val="007E6739"/>
    <w:rsid w:val="00856895"/>
    <w:rsid w:val="008647F3"/>
    <w:rsid w:val="008C46B2"/>
    <w:rsid w:val="008D1BE7"/>
    <w:rsid w:val="008D56AC"/>
    <w:rsid w:val="00932D62"/>
    <w:rsid w:val="00983322"/>
    <w:rsid w:val="00997EF1"/>
    <w:rsid w:val="009C704D"/>
    <w:rsid w:val="009D0611"/>
    <w:rsid w:val="00A04507"/>
    <w:rsid w:val="00A2387C"/>
    <w:rsid w:val="00A42DF6"/>
    <w:rsid w:val="00A53A87"/>
    <w:rsid w:val="00A8399C"/>
    <w:rsid w:val="00A873E5"/>
    <w:rsid w:val="00AF724D"/>
    <w:rsid w:val="00B96949"/>
    <w:rsid w:val="00BD15C7"/>
    <w:rsid w:val="00C0512F"/>
    <w:rsid w:val="00C06B11"/>
    <w:rsid w:val="00C06EAF"/>
    <w:rsid w:val="00C2089C"/>
    <w:rsid w:val="00C243C6"/>
    <w:rsid w:val="00C554B4"/>
    <w:rsid w:val="00C80A31"/>
    <w:rsid w:val="00C81164"/>
    <w:rsid w:val="00CD48E5"/>
    <w:rsid w:val="00CE2226"/>
    <w:rsid w:val="00CE4456"/>
    <w:rsid w:val="00CF1DA1"/>
    <w:rsid w:val="00CF2D52"/>
    <w:rsid w:val="00D366DF"/>
    <w:rsid w:val="00D711CB"/>
    <w:rsid w:val="00D717ED"/>
    <w:rsid w:val="00D86023"/>
    <w:rsid w:val="00DC169B"/>
    <w:rsid w:val="00DC313C"/>
    <w:rsid w:val="00DC495A"/>
    <w:rsid w:val="00DC6D1F"/>
    <w:rsid w:val="00DE2FBA"/>
    <w:rsid w:val="00DF7D0C"/>
    <w:rsid w:val="00E171E8"/>
    <w:rsid w:val="00E32F91"/>
    <w:rsid w:val="00E37F59"/>
    <w:rsid w:val="00E7089B"/>
    <w:rsid w:val="00E86C38"/>
    <w:rsid w:val="00E969B7"/>
    <w:rsid w:val="00EA6A32"/>
    <w:rsid w:val="00EA735E"/>
    <w:rsid w:val="00EC5BDC"/>
    <w:rsid w:val="00EE7277"/>
    <w:rsid w:val="00EF08AD"/>
    <w:rsid w:val="00EF4BC7"/>
    <w:rsid w:val="00F077F2"/>
    <w:rsid w:val="00F24AC3"/>
    <w:rsid w:val="00F40BE5"/>
    <w:rsid w:val="00F54A6A"/>
    <w:rsid w:val="00F55AF5"/>
    <w:rsid w:val="00F97A65"/>
    <w:rsid w:val="00FB4198"/>
    <w:rsid w:val="00FB4952"/>
    <w:rsid w:val="00FF22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344B1C3"/>
  <w15:docId w15:val="{E4D6ADE9-A3EF-4F5D-8AC1-50159835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BC"/>
    <w:pPr>
      <w:spacing w:after="135" w:line="270" w:lineRule="auto"/>
      <w:ind w:left="1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181AD1"/>
    <w:pPr>
      <w:keepNext/>
      <w:keepLines/>
      <w:spacing w:after="0"/>
      <w:ind w:left="10" w:right="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181AD1"/>
    <w:pPr>
      <w:keepNext/>
      <w:keepLines/>
      <w:spacing w:after="73" w:line="271" w:lineRule="auto"/>
      <w:ind w:left="6027"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1A40C1"/>
    <w:pPr>
      <w:keepNext/>
      <w:keepLines/>
      <w:spacing w:after="73" w:line="271" w:lineRule="auto"/>
      <w:ind w:left="730" w:hanging="10"/>
      <w:outlineLvl w:val="2"/>
    </w:pPr>
    <w:rPr>
      <w:rFonts w:ascii="Times New Roman" w:eastAsia="Times New Roman" w:hAnsi="Times New Roman" w:cs="Times New Roman"/>
      <w:b/>
      <w:i/>
      <w:color w:val="000000"/>
      <w:sz w:val="28"/>
    </w:rPr>
  </w:style>
  <w:style w:type="paragraph" w:styleId="Heading4">
    <w:name w:val="heading 4"/>
    <w:basedOn w:val="Normal"/>
    <w:next w:val="Normal"/>
    <w:link w:val="Heading4Char"/>
    <w:uiPriority w:val="9"/>
    <w:unhideWhenUsed/>
    <w:qFormat/>
    <w:rsid w:val="00CE44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AD1"/>
    <w:rPr>
      <w:rFonts w:ascii="Times New Roman" w:eastAsia="Times New Roman" w:hAnsi="Times New Roman" w:cs="Times New Roman"/>
      <w:b/>
      <w:color w:val="000000"/>
      <w:sz w:val="28"/>
    </w:rPr>
  </w:style>
  <w:style w:type="character" w:customStyle="1" w:styleId="Heading1Char">
    <w:name w:val="Heading 1 Char"/>
    <w:link w:val="Heading1"/>
    <w:uiPriority w:val="9"/>
    <w:rsid w:val="00181AD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rsid w:val="00120BBC"/>
    <w:pPr>
      <w:spacing w:after="0" w:line="271" w:lineRule="auto"/>
      <w:ind w:right="1"/>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20BBC"/>
    <w:rPr>
      <w:rFonts w:ascii="Times New Roman" w:eastAsia="Times New Roman" w:hAnsi="Times New Roman" w:cs="Times New Roman"/>
      <w:color w:val="000000"/>
      <w:sz w:val="20"/>
    </w:rPr>
  </w:style>
  <w:style w:type="character" w:customStyle="1" w:styleId="Heading3Char">
    <w:name w:val="Heading 3 Char"/>
    <w:link w:val="Heading3"/>
    <w:uiPriority w:val="9"/>
    <w:rsid w:val="001A40C1"/>
    <w:rPr>
      <w:rFonts w:ascii="Times New Roman" w:eastAsia="Times New Roman" w:hAnsi="Times New Roman" w:cs="Times New Roman"/>
      <w:b/>
      <w:i/>
      <w:color w:val="000000"/>
      <w:sz w:val="28"/>
    </w:rPr>
  </w:style>
  <w:style w:type="character" w:customStyle="1" w:styleId="footnotemark">
    <w:name w:val="footnote mark"/>
    <w:hidden/>
    <w:rsid w:val="00120BBC"/>
    <w:rPr>
      <w:rFonts w:ascii="Times New Roman" w:eastAsia="Times New Roman" w:hAnsi="Times New Roman" w:cs="Times New Roman"/>
      <w:color w:val="000000"/>
      <w:sz w:val="20"/>
      <w:vertAlign w:val="superscript"/>
    </w:rPr>
  </w:style>
  <w:style w:type="table" w:customStyle="1" w:styleId="TableGrid">
    <w:name w:val="TableGrid"/>
    <w:rsid w:val="00120BBC"/>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086C2E"/>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F54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6A"/>
    <w:rPr>
      <w:rFonts w:ascii="Times New Roman" w:eastAsia="Times New Roman" w:hAnsi="Times New Roman" w:cs="Times New Roman"/>
      <w:color w:val="000000"/>
      <w:sz w:val="28"/>
    </w:rPr>
  </w:style>
  <w:style w:type="paragraph" w:styleId="ListParagraph">
    <w:name w:val="List Paragraph"/>
    <w:basedOn w:val="Normal"/>
    <w:uiPriority w:val="34"/>
    <w:qFormat/>
    <w:rsid w:val="006F4925"/>
    <w:pPr>
      <w:ind w:left="720"/>
      <w:contextualSpacing/>
    </w:pPr>
  </w:style>
  <w:style w:type="paragraph" w:styleId="EndnoteText">
    <w:name w:val="endnote text"/>
    <w:basedOn w:val="Normal"/>
    <w:link w:val="EndnoteTextChar"/>
    <w:uiPriority w:val="99"/>
    <w:semiHidden/>
    <w:unhideWhenUsed/>
    <w:rsid w:val="006264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64CC"/>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6264CC"/>
    <w:rPr>
      <w:vertAlign w:val="superscript"/>
    </w:rPr>
  </w:style>
  <w:style w:type="paragraph" w:styleId="NormalWeb">
    <w:name w:val="Normal (Web)"/>
    <w:basedOn w:val="Normal"/>
    <w:uiPriority w:val="99"/>
    <w:semiHidden/>
    <w:unhideWhenUsed/>
    <w:rsid w:val="006264CC"/>
    <w:pPr>
      <w:spacing w:before="100" w:beforeAutospacing="1" w:after="100" w:afterAutospacing="1" w:line="240" w:lineRule="auto"/>
      <w:ind w:left="0" w:firstLine="0"/>
      <w:jc w:val="left"/>
    </w:pPr>
    <w:rPr>
      <w:color w:val="auto"/>
      <w:sz w:val="24"/>
      <w:szCs w:val="24"/>
    </w:rPr>
  </w:style>
  <w:style w:type="paragraph" w:styleId="FootnoteText">
    <w:name w:val="footnote text"/>
    <w:basedOn w:val="Normal"/>
    <w:link w:val="FootnoteTextChar"/>
    <w:uiPriority w:val="99"/>
    <w:semiHidden/>
    <w:unhideWhenUsed/>
    <w:rsid w:val="00626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4C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264CC"/>
    <w:rPr>
      <w:vertAlign w:val="superscript"/>
    </w:rPr>
  </w:style>
  <w:style w:type="paragraph" w:styleId="TOCHeading">
    <w:name w:val="TOC Heading"/>
    <w:basedOn w:val="Heading1"/>
    <w:next w:val="Normal"/>
    <w:uiPriority w:val="39"/>
    <w:unhideWhenUsed/>
    <w:qFormat/>
    <w:rsid w:val="001A40C1"/>
    <w:pPr>
      <w:spacing w:before="24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1A40C1"/>
    <w:pPr>
      <w:spacing w:after="100"/>
      <w:ind w:left="0"/>
    </w:pPr>
  </w:style>
  <w:style w:type="paragraph" w:styleId="TOC2">
    <w:name w:val="toc 2"/>
    <w:basedOn w:val="Normal"/>
    <w:next w:val="Normal"/>
    <w:autoRedefine/>
    <w:uiPriority w:val="39"/>
    <w:unhideWhenUsed/>
    <w:rsid w:val="001A40C1"/>
    <w:pPr>
      <w:spacing w:after="100"/>
      <w:ind w:left="280"/>
    </w:pPr>
  </w:style>
  <w:style w:type="paragraph" w:styleId="TOC3">
    <w:name w:val="toc 3"/>
    <w:basedOn w:val="Normal"/>
    <w:next w:val="Normal"/>
    <w:autoRedefine/>
    <w:uiPriority w:val="39"/>
    <w:unhideWhenUsed/>
    <w:rsid w:val="001A40C1"/>
    <w:pPr>
      <w:spacing w:after="100"/>
      <w:ind w:left="560"/>
    </w:pPr>
  </w:style>
  <w:style w:type="character" w:styleId="Hyperlink">
    <w:name w:val="Hyperlink"/>
    <w:basedOn w:val="DefaultParagraphFont"/>
    <w:uiPriority w:val="99"/>
    <w:unhideWhenUsed/>
    <w:rsid w:val="001A40C1"/>
    <w:rPr>
      <w:color w:val="0563C1" w:themeColor="hyperlink"/>
      <w:u w:val="single"/>
    </w:rPr>
  </w:style>
  <w:style w:type="paragraph" w:styleId="BalloonText">
    <w:name w:val="Balloon Text"/>
    <w:basedOn w:val="Normal"/>
    <w:link w:val="BalloonTextChar"/>
    <w:uiPriority w:val="99"/>
    <w:semiHidden/>
    <w:unhideWhenUsed/>
    <w:rsid w:val="00114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AF9"/>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CE4456"/>
    <w:rPr>
      <w:rFonts w:asciiTheme="majorHAnsi" w:eastAsiaTheme="majorEastAsia" w:hAnsiTheme="majorHAnsi" w:cstheme="majorBidi"/>
      <w:i/>
      <w:iCs/>
      <w:color w:val="2E74B5" w:themeColor="accent1" w:themeShade="BF"/>
      <w:sz w:val="28"/>
    </w:rPr>
  </w:style>
  <w:style w:type="paragraph" w:styleId="Header">
    <w:name w:val="header"/>
    <w:basedOn w:val="Normal"/>
    <w:link w:val="HeaderChar"/>
    <w:uiPriority w:val="99"/>
    <w:unhideWhenUsed/>
    <w:rsid w:val="000E4E1E"/>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0E4E1E"/>
    <w:rPr>
      <w:rFonts w:cs="Times New Roman"/>
    </w:rPr>
  </w:style>
  <w:style w:type="table" w:styleId="TableGrid0">
    <w:name w:val="Table Grid"/>
    <w:basedOn w:val="TableNormal"/>
    <w:uiPriority w:val="39"/>
    <w:rsid w:val="005238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8851">
      <w:bodyDiv w:val="1"/>
      <w:marLeft w:val="0"/>
      <w:marRight w:val="0"/>
      <w:marTop w:val="0"/>
      <w:marBottom w:val="0"/>
      <w:divBdr>
        <w:top w:val="none" w:sz="0" w:space="0" w:color="auto"/>
        <w:left w:val="none" w:sz="0" w:space="0" w:color="auto"/>
        <w:bottom w:val="none" w:sz="0" w:space="0" w:color="auto"/>
        <w:right w:val="none" w:sz="0" w:space="0" w:color="auto"/>
      </w:divBdr>
    </w:div>
    <w:div w:id="55353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F091-65B5-41B8-B8B9-FDAAEE9A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Đánh giá mức độ chuyển đổi số</vt:lpstr>
    </vt:vector>
  </TitlesOfParts>
  <Manager>Trần Hiểu</Manager>
  <Company>Microsoft</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Đánh giá mức độ chuyển đổi số</dc:title>
  <dc:subject/>
  <dc:creator>VTBDA</dc:creator>
  <cp:keywords/>
  <cp:lastModifiedBy>ps lee</cp:lastModifiedBy>
  <cp:revision>6</cp:revision>
  <cp:lastPrinted>2025-05-13T03:41:00Z</cp:lastPrinted>
  <dcterms:created xsi:type="dcterms:W3CDTF">2025-12-04T01:35:00Z</dcterms:created>
  <dcterms:modified xsi:type="dcterms:W3CDTF">2026-03-16T02:24:00Z</dcterms:modified>
</cp:coreProperties>
</file>